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8A98" w14:textId="07A1304F" w:rsidR="004C06C0" w:rsidRDefault="00833D83" w:rsidP="004C06C0">
      <w:pPr>
        <w:pStyle w:val="Heading1"/>
        <w:rPr>
          <w:sz w:val="22"/>
        </w:rPr>
      </w:pPr>
      <w:r w:rsidRPr="004C06C0">
        <w:rPr>
          <w:rFonts w:asciiTheme="minorHAnsi" w:hAnsiTheme="minorHAnsi" w:cstheme="minorBidi"/>
          <w:b w:val="0"/>
          <w:noProof/>
          <w:sz w:val="24"/>
          <w:szCs w:val="24"/>
          <w:lang w:val="en-AU" w:eastAsia="en-AU"/>
        </w:rPr>
        <w:drawing>
          <wp:anchor distT="0" distB="0" distL="114300" distR="114300" simplePos="0" relativeHeight="251657728" behindDoc="1" locked="0" layoutInCell="1" allowOverlap="1" wp14:anchorId="0555B664" wp14:editId="2FF20072">
            <wp:simplePos x="0" y="0"/>
            <wp:positionH relativeFrom="column">
              <wp:posOffset>-313690</wp:posOffset>
            </wp:positionH>
            <wp:positionV relativeFrom="paragraph">
              <wp:posOffset>0</wp:posOffset>
            </wp:positionV>
            <wp:extent cx="1219200" cy="840740"/>
            <wp:effectExtent l="0" t="0" r="0" b="0"/>
            <wp:wrapTight wrapText="bothSides">
              <wp:wrapPolygon edited="0">
                <wp:start x="0" y="0"/>
                <wp:lineTo x="0" y="21045"/>
                <wp:lineTo x="21263" y="21045"/>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S Logo- LARGE - Copy (800x552) (600x414) (400x276).jpg"/>
                    <pic:cNvPicPr/>
                  </pic:nvPicPr>
                  <pic:blipFill>
                    <a:blip r:embed="rId11">
                      <a:extLst>
                        <a:ext uri="{28A0092B-C50C-407E-A947-70E740481C1C}">
                          <a14:useLocalDpi xmlns:a14="http://schemas.microsoft.com/office/drawing/2010/main" val="0"/>
                        </a:ext>
                      </a:extLst>
                    </a:blip>
                    <a:stretch>
                      <a:fillRect/>
                    </a:stretch>
                  </pic:blipFill>
                  <pic:spPr>
                    <a:xfrm>
                      <a:off x="0" y="0"/>
                      <a:ext cx="1219200" cy="840740"/>
                    </a:xfrm>
                    <a:prstGeom prst="rect">
                      <a:avLst/>
                    </a:prstGeom>
                  </pic:spPr>
                </pic:pic>
              </a:graphicData>
            </a:graphic>
            <wp14:sizeRelH relativeFrom="page">
              <wp14:pctWidth>0</wp14:pctWidth>
            </wp14:sizeRelH>
            <wp14:sizeRelV relativeFrom="page">
              <wp14:pctHeight>0</wp14:pctHeight>
            </wp14:sizeRelV>
          </wp:anchor>
        </w:drawing>
      </w:r>
      <w:r w:rsidR="00936CAF" w:rsidRPr="004C06C0">
        <w:rPr>
          <w:b w:val="0"/>
          <w:noProof/>
          <w:color w:val="404040" w:themeColor="text1" w:themeTint="BF"/>
          <w:lang w:val="en-AU" w:eastAsia="en-AU"/>
        </w:rPr>
        <mc:AlternateContent>
          <mc:Choice Requires="wps">
            <w:drawing>
              <wp:anchor distT="0" distB="0" distL="114300" distR="114300" simplePos="0" relativeHeight="251656704" behindDoc="0" locked="0" layoutInCell="1" allowOverlap="1" wp14:anchorId="7A96E297" wp14:editId="5055C0EC">
                <wp:simplePos x="0" y="0"/>
                <wp:positionH relativeFrom="column">
                  <wp:posOffset>-170815</wp:posOffset>
                </wp:positionH>
                <wp:positionV relativeFrom="paragraph">
                  <wp:posOffset>175260</wp:posOffset>
                </wp:positionV>
                <wp:extent cx="6229350" cy="666750"/>
                <wp:effectExtent l="0" t="0" r="0" b="0"/>
                <wp:wrapTopAndBottom/>
                <wp:docPr id="5" name="Text Box 5"/>
                <wp:cNvGraphicFramePr/>
                <a:graphic xmlns:a="http://schemas.openxmlformats.org/drawingml/2006/main">
                  <a:graphicData uri="http://schemas.microsoft.com/office/word/2010/wordprocessingShape">
                    <wps:wsp>
                      <wps:cNvSpPr txBox="1"/>
                      <wps:spPr>
                        <a:xfrm>
                          <a:off x="0" y="0"/>
                          <a:ext cx="6229350" cy="666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60EBED" w14:textId="5DB58F34" w:rsidR="007F6314" w:rsidRPr="00761353" w:rsidRDefault="00A54561" w:rsidP="007F6314">
                            <w:pPr>
                              <w:pStyle w:val="Subtitle"/>
                              <w:jc w:val="right"/>
                              <w:rPr>
                                <w:color w:val="548DD4" w:themeColor="text2" w:themeTint="99"/>
                              </w:rPr>
                            </w:pPr>
                            <w:r w:rsidRPr="00761353">
                              <w:rPr>
                                <w:color w:val="548DD4" w:themeColor="text2" w:themeTint="99"/>
                              </w:rPr>
                              <w:t>Malvern Central School</w:t>
                            </w:r>
                          </w:p>
                          <w:p w14:paraId="4147AD80" w14:textId="2046E23E" w:rsidR="007F6314" w:rsidRPr="00761353" w:rsidRDefault="00936CAF" w:rsidP="007F6314">
                            <w:pPr>
                              <w:pStyle w:val="Title"/>
                              <w:jc w:val="right"/>
                              <w:rPr>
                                <w:rStyle w:val="SubtleEmphasis"/>
                                <w:i w:val="0"/>
                                <w:color w:val="002060"/>
                              </w:rPr>
                            </w:pPr>
                            <w:r>
                              <w:rPr>
                                <w:rStyle w:val="SubtleEmphasis"/>
                                <w:i w:val="0"/>
                                <w:color w:val="002060"/>
                              </w:rPr>
                              <w:t>Electronic Fund Management</w:t>
                            </w:r>
                            <w:r w:rsidR="000A57EA">
                              <w:rPr>
                                <w:rStyle w:val="SubtleEmphasis"/>
                                <w:i w:val="0"/>
                                <w:color w:val="002060"/>
                              </w:rPr>
                              <w:t xml:space="preserve"> </w:t>
                            </w:r>
                            <w:r w:rsidR="007F6314" w:rsidRPr="00761353">
                              <w:rPr>
                                <w:rStyle w:val="SubtleEmphasis"/>
                                <w:i w:val="0"/>
                                <w:color w:val="002060"/>
                              </w:rPr>
                              <w:t xml:space="preserve">Policy </w:t>
                            </w:r>
                          </w:p>
                          <w:p w14:paraId="75D7EF7F" w14:textId="01CC30E8" w:rsidR="007F6314" w:rsidRPr="00B70F0B" w:rsidRDefault="007F6314" w:rsidP="007F6314">
                            <w:pPr>
                              <w:pStyle w:val="Subtitle"/>
                              <w:rPr>
                                <w:b/>
                              </w:rPr>
                            </w:pP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A96E297" id="_x0000_t202" coordsize="21600,21600" o:spt="202" path="m,l,21600r21600,l21600,xe">
                <v:stroke joinstyle="miter"/>
                <v:path gradientshapeok="t" o:connecttype="rect"/>
              </v:shapetype>
              <v:shape id="Text Box 5" o:spid="_x0000_s1026" type="#_x0000_t202" style="position:absolute;margin-left:-13.45pt;margin-top:13.8pt;width:490.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" filled="f" stroked="f">
                <v:textbox>
                  <w:txbxContent>
                    <w:p w14:paraId="2060EBED" w14:textId="5DB58F34" w:rsidR="007F6314" w:rsidRPr="00761353" w:rsidRDefault="00A54561" w:rsidP="007F6314">
                      <w:pPr>
                        <w:pStyle w:val="Subtitle"/>
                        <w:jc w:val="right"/>
                        <w:rPr>
                          <w:color w:val="548DD4" w:themeColor="text2" w:themeTint="99"/>
                        </w:rPr>
                      </w:pPr>
                      <w:r w:rsidRPr="00761353">
                        <w:rPr>
                          <w:color w:val="548DD4" w:themeColor="text2" w:themeTint="99"/>
                        </w:rPr>
                        <w:t>Malvern Central School</w:t>
                      </w:r>
                    </w:p>
                    <w:p w14:paraId="4147AD80" w14:textId="2046E23E" w:rsidR="007F6314" w:rsidRPr="00761353" w:rsidRDefault="00936CAF" w:rsidP="007F6314">
                      <w:pPr>
                        <w:pStyle w:val="Title"/>
                        <w:jc w:val="right"/>
                        <w:rPr>
                          <w:rStyle w:val="SubtleEmphasis"/>
                          <w:i w:val="0"/>
                          <w:color w:val="002060"/>
                        </w:rPr>
                      </w:pPr>
                      <w:r>
                        <w:rPr>
                          <w:rStyle w:val="SubtleEmphasis"/>
                          <w:i w:val="0"/>
                          <w:color w:val="002060"/>
                        </w:rPr>
                        <w:t>Electronic Fund Management</w:t>
                      </w:r>
                      <w:r w:rsidR="000A57EA">
                        <w:rPr>
                          <w:rStyle w:val="SubtleEmphasis"/>
                          <w:i w:val="0"/>
                          <w:color w:val="002060"/>
                        </w:rPr>
                        <w:t xml:space="preserve"> </w:t>
                      </w:r>
                      <w:r w:rsidR="007F6314" w:rsidRPr="00761353">
                        <w:rPr>
                          <w:rStyle w:val="SubtleEmphasis"/>
                          <w:i w:val="0"/>
                          <w:color w:val="002060"/>
                        </w:rPr>
                        <w:t xml:space="preserve">Policy </w:t>
                      </w:r>
                    </w:p>
                    <w:p w14:paraId="75D7EF7F" w14:textId="01CC30E8" w:rsidR="007F6314" w:rsidRPr="00B70F0B" w:rsidRDefault="007F6314" w:rsidP="007F6314">
                      <w:pPr>
                        <w:pStyle w:val="Subtitle"/>
                        <w:rPr>
                          <w:b/>
                        </w:rPr>
                      </w:pPr>
                      <w:r>
                        <w:rPr>
                          <w:b/>
                        </w:rPr>
                        <w:t xml:space="preserve">  </w:t>
                      </w:r>
                    </w:p>
                  </w:txbxContent>
                </v:textbox>
                <w10:wrap type="topAndBottom"/>
              </v:shape>
            </w:pict>
          </mc:Fallback>
        </mc:AlternateContent>
      </w:r>
    </w:p>
    <w:p w14:paraId="0E747958" w14:textId="51C177D6" w:rsidR="00EB2324" w:rsidRDefault="00EB2324" w:rsidP="00EB2324">
      <w:pPr>
        <w:spacing w:after="0" w:line="24" w:lineRule="atLeast"/>
      </w:pPr>
    </w:p>
    <w:p w14:paraId="561BF426" w14:textId="77777777" w:rsidR="00EE67E5" w:rsidRDefault="00EE67E5" w:rsidP="00936CAF">
      <w:pPr>
        <w:spacing w:line="22" w:lineRule="atLeast"/>
        <w:jc w:val="both"/>
        <w:rPr>
          <w:rFonts w:asciiTheme="majorHAnsi" w:eastAsiaTheme="majorEastAsia" w:hAnsiTheme="majorHAnsi" w:cstheme="majorHAnsi"/>
          <w:b/>
          <w:caps/>
          <w:color w:val="002060"/>
          <w:sz w:val="24"/>
          <w:szCs w:val="24"/>
        </w:rPr>
      </w:pPr>
    </w:p>
    <w:p w14:paraId="38E77321" w14:textId="093F2285" w:rsidR="00936CAF" w:rsidRPr="006A35F0" w:rsidRDefault="00936CAF" w:rsidP="00936CAF">
      <w:pPr>
        <w:spacing w:line="22" w:lineRule="atLeast"/>
        <w:jc w:val="both"/>
        <w:rPr>
          <w:rFonts w:asciiTheme="majorHAnsi" w:eastAsiaTheme="majorEastAsia" w:hAnsiTheme="majorHAnsi" w:cstheme="majorHAnsi"/>
          <w:b/>
          <w:caps/>
          <w:color w:val="002060"/>
          <w:sz w:val="24"/>
          <w:szCs w:val="24"/>
        </w:rPr>
      </w:pPr>
      <w:r w:rsidRPr="006A35F0">
        <w:rPr>
          <w:rFonts w:asciiTheme="majorHAnsi" w:eastAsiaTheme="majorEastAsia" w:hAnsiTheme="majorHAnsi" w:cstheme="majorHAnsi"/>
          <w:b/>
          <w:caps/>
          <w:color w:val="002060"/>
          <w:sz w:val="24"/>
          <w:szCs w:val="24"/>
        </w:rPr>
        <w:t>Purpose</w:t>
      </w:r>
    </w:p>
    <w:p w14:paraId="2238996C" w14:textId="77777777" w:rsidR="00936CAF" w:rsidRPr="006A35F0" w:rsidRDefault="00936CAF" w:rsidP="00936CAF">
      <w:pPr>
        <w:spacing w:line="22" w:lineRule="atLeast"/>
        <w:jc w:val="both"/>
        <w:rPr>
          <w:rFonts w:asciiTheme="majorHAnsi" w:hAnsiTheme="majorHAnsi" w:cstheme="majorHAnsi"/>
          <w:color w:val="002060"/>
          <w:sz w:val="24"/>
          <w:szCs w:val="24"/>
        </w:rPr>
      </w:pPr>
      <w:r w:rsidRPr="006A35F0">
        <w:rPr>
          <w:rFonts w:asciiTheme="majorHAnsi" w:eastAsia="Times New Roman" w:hAnsiTheme="majorHAnsi" w:cstheme="majorHAnsi"/>
          <w:color w:val="002060"/>
          <w:sz w:val="24"/>
          <w:szCs w:val="24"/>
        </w:rPr>
        <w:t>The purpose of this policy is to set out how our school will manage electronic funds in accordance with applicable Department of Education and Training policy and law.</w:t>
      </w:r>
    </w:p>
    <w:p w14:paraId="1C44BE38" w14:textId="77777777" w:rsidR="00936CAF" w:rsidRPr="00EE67E5" w:rsidRDefault="00936CAF" w:rsidP="00936CAF">
      <w:pPr>
        <w:spacing w:line="22" w:lineRule="atLeast"/>
        <w:jc w:val="both"/>
        <w:rPr>
          <w:rFonts w:asciiTheme="majorHAnsi" w:eastAsiaTheme="majorEastAsia" w:hAnsiTheme="majorHAnsi" w:cstheme="majorHAnsi"/>
          <w:b/>
          <w:caps/>
          <w:color w:val="002060"/>
          <w:sz w:val="24"/>
          <w:szCs w:val="24"/>
        </w:rPr>
      </w:pPr>
    </w:p>
    <w:p w14:paraId="7062954E" w14:textId="1E50C93C" w:rsidR="00936CAF" w:rsidRPr="00EE67E5" w:rsidRDefault="00936CAF" w:rsidP="00936CAF">
      <w:pPr>
        <w:spacing w:line="22" w:lineRule="atLeast"/>
        <w:jc w:val="both"/>
        <w:rPr>
          <w:rFonts w:asciiTheme="majorHAnsi" w:eastAsiaTheme="majorEastAsia" w:hAnsiTheme="majorHAnsi" w:cstheme="majorHAnsi"/>
          <w:b/>
          <w:caps/>
          <w:color w:val="002060"/>
          <w:sz w:val="24"/>
          <w:szCs w:val="24"/>
        </w:rPr>
      </w:pPr>
      <w:r w:rsidRPr="00EE67E5">
        <w:rPr>
          <w:rFonts w:asciiTheme="majorHAnsi" w:eastAsiaTheme="majorEastAsia" w:hAnsiTheme="majorHAnsi" w:cstheme="majorHAnsi"/>
          <w:b/>
          <w:caps/>
          <w:color w:val="002060"/>
          <w:sz w:val="24"/>
          <w:szCs w:val="24"/>
        </w:rPr>
        <w:t>scope</w:t>
      </w:r>
    </w:p>
    <w:p w14:paraId="1106BFB5" w14:textId="77777777" w:rsidR="00936CAF" w:rsidRPr="00EE67E5" w:rsidRDefault="00936CAF" w:rsidP="00936CAF">
      <w:pPr>
        <w:spacing w:line="22" w:lineRule="atLeast"/>
        <w:jc w:val="both"/>
        <w:rPr>
          <w:rFonts w:asciiTheme="majorHAnsi" w:eastAsiaTheme="majorEastAsia" w:hAnsiTheme="majorHAnsi" w:cstheme="majorHAnsi"/>
          <w:b/>
          <w:caps/>
          <w:color w:val="002060"/>
          <w:sz w:val="24"/>
          <w:szCs w:val="24"/>
        </w:rPr>
      </w:pPr>
      <w:r w:rsidRPr="00EE67E5">
        <w:rPr>
          <w:rFonts w:asciiTheme="majorHAnsi" w:eastAsia="Times New Roman" w:hAnsiTheme="majorHAnsi" w:cstheme="majorHAnsi"/>
          <w:color w:val="002060"/>
          <w:sz w:val="24"/>
          <w:szCs w:val="24"/>
          <w:lang w:eastAsia="en-AU"/>
        </w:rPr>
        <w:t>This policy applies to:</w:t>
      </w:r>
    </w:p>
    <w:p w14:paraId="4AF54BA9" w14:textId="77777777" w:rsidR="00936CAF" w:rsidRPr="00EE67E5" w:rsidRDefault="00936CAF" w:rsidP="00936CAF">
      <w:pPr>
        <w:pStyle w:val="ListParagraph"/>
        <w:numPr>
          <w:ilvl w:val="0"/>
          <w:numId w:val="38"/>
        </w:numPr>
        <w:spacing w:after="160" w:line="22" w:lineRule="atLeast"/>
        <w:jc w:val="both"/>
        <w:rPr>
          <w:rFonts w:asciiTheme="majorHAnsi" w:eastAsia="Times New Roman" w:hAnsiTheme="majorHAnsi" w:cstheme="majorHAnsi"/>
          <w:color w:val="002060"/>
          <w:sz w:val="24"/>
          <w:szCs w:val="24"/>
          <w:lang w:eastAsia="en-AU"/>
        </w:rPr>
      </w:pPr>
      <w:r w:rsidRPr="00EE67E5">
        <w:rPr>
          <w:rFonts w:asciiTheme="majorHAnsi" w:eastAsia="Times New Roman" w:hAnsiTheme="majorHAnsi" w:cstheme="majorHAnsi"/>
          <w:color w:val="002060"/>
          <w:sz w:val="24"/>
          <w:szCs w:val="24"/>
          <w:lang w:eastAsia="en-AU"/>
        </w:rPr>
        <w:t>all staff/responsible persons involved in management of funds transacted electronically</w:t>
      </w:r>
    </w:p>
    <w:p w14:paraId="3F64621E" w14:textId="77777777" w:rsidR="00936CAF" w:rsidRPr="00EE67E5" w:rsidRDefault="00936CAF" w:rsidP="00936CAF">
      <w:pPr>
        <w:pStyle w:val="ListParagraph"/>
        <w:numPr>
          <w:ilvl w:val="0"/>
          <w:numId w:val="38"/>
        </w:numPr>
        <w:spacing w:after="160" w:line="22" w:lineRule="atLeast"/>
        <w:jc w:val="both"/>
        <w:rPr>
          <w:rFonts w:asciiTheme="majorHAnsi" w:eastAsia="Times New Roman" w:hAnsiTheme="majorHAnsi" w:cstheme="majorHAnsi"/>
          <w:color w:val="002060"/>
          <w:sz w:val="24"/>
          <w:szCs w:val="24"/>
          <w:lang w:eastAsia="en-AU"/>
        </w:rPr>
      </w:pPr>
      <w:r w:rsidRPr="00EE67E5">
        <w:rPr>
          <w:rFonts w:asciiTheme="majorHAnsi" w:eastAsia="Times New Roman" w:hAnsiTheme="majorHAnsi" w:cstheme="majorHAnsi"/>
          <w:color w:val="002060"/>
          <w:sz w:val="24"/>
          <w:szCs w:val="24"/>
          <w:lang w:eastAsia="en-AU"/>
        </w:rPr>
        <w:t xml:space="preserve">all transactions carried out by </w:t>
      </w:r>
      <w:r w:rsidRPr="00EE67E5">
        <w:rPr>
          <w:rFonts w:asciiTheme="majorHAnsi" w:hAnsiTheme="majorHAnsi" w:cstheme="majorHAnsi"/>
          <w:color w:val="002060"/>
          <w:sz w:val="24"/>
          <w:szCs w:val="24"/>
        </w:rPr>
        <w:t>Malvern Central School via the methods set out in this policy</w:t>
      </w:r>
    </w:p>
    <w:p w14:paraId="47BB303F" w14:textId="77777777" w:rsidR="00936CAF" w:rsidRPr="00EE67E5" w:rsidRDefault="00936CAF" w:rsidP="00936CAF">
      <w:pPr>
        <w:keepNext/>
        <w:keepLines/>
        <w:spacing w:line="22" w:lineRule="atLeast"/>
        <w:jc w:val="both"/>
        <w:outlineLvl w:val="1"/>
        <w:rPr>
          <w:rFonts w:asciiTheme="majorHAnsi" w:eastAsiaTheme="majorEastAsia" w:hAnsiTheme="majorHAnsi" w:cstheme="majorHAnsi"/>
          <w:b/>
          <w:caps/>
          <w:color w:val="002060"/>
          <w:sz w:val="24"/>
          <w:szCs w:val="24"/>
        </w:rPr>
      </w:pPr>
    </w:p>
    <w:p w14:paraId="0914FCEE" w14:textId="14421F65" w:rsidR="00936CAF" w:rsidRPr="00EE67E5" w:rsidRDefault="00936CAF" w:rsidP="00936CAF">
      <w:pPr>
        <w:keepNext/>
        <w:keepLines/>
        <w:spacing w:line="22" w:lineRule="atLeast"/>
        <w:jc w:val="both"/>
        <w:outlineLvl w:val="1"/>
        <w:rPr>
          <w:rFonts w:asciiTheme="majorHAnsi" w:eastAsiaTheme="majorEastAsia" w:hAnsiTheme="majorHAnsi" w:cstheme="majorHAnsi"/>
          <w:b/>
          <w:caps/>
          <w:color w:val="002060"/>
          <w:sz w:val="24"/>
          <w:szCs w:val="24"/>
        </w:rPr>
      </w:pPr>
      <w:r w:rsidRPr="00EE67E5">
        <w:rPr>
          <w:rFonts w:asciiTheme="majorHAnsi" w:eastAsiaTheme="majorEastAsia" w:hAnsiTheme="majorHAnsi" w:cstheme="majorHAnsi"/>
          <w:b/>
          <w:caps/>
          <w:color w:val="002060"/>
          <w:sz w:val="24"/>
          <w:szCs w:val="24"/>
        </w:rPr>
        <w:t>Policy</w:t>
      </w:r>
    </w:p>
    <w:p w14:paraId="2AE1B2E6" w14:textId="77777777" w:rsidR="006A35F0" w:rsidRDefault="00936CAF" w:rsidP="006A35F0">
      <w:pPr>
        <w:spacing w:line="22" w:lineRule="atLeast"/>
        <w:rPr>
          <w:rStyle w:val="Hyperlink"/>
          <w:rFonts w:cstheme="minorHAnsi"/>
          <w:lang w:eastAsia="en-AU"/>
        </w:rPr>
      </w:pPr>
      <w:r w:rsidRPr="008E6E84">
        <w:rPr>
          <w:rFonts w:asciiTheme="majorHAnsi" w:hAnsiTheme="majorHAnsi" w:cstheme="majorHAnsi"/>
          <w:color w:val="002060"/>
          <w:sz w:val="24"/>
          <w:szCs w:val="24"/>
        </w:rPr>
        <w:t xml:space="preserve">Malvern Central School </w:t>
      </w:r>
      <w:r w:rsidR="006A35F0" w:rsidRPr="006A35F0">
        <w:rPr>
          <w:rFonts w:asciiTheme="majorHAnsi" w:hAnsiTheme="majorHAnsi" w:cstheme="majorHAnsi"/>
          <w:sz w:val="24"/>
          <w:szCs w:val="24"/>
        </w:rPr>
        <w:t xml:space="preserve">has developed this policy consistently with the </w:t>
      </w:r>
      <w:hyperlink r:id="rId12" w:history="1">
        <w:r w:rsidR="006A35F0" w:rsidRPr="006A35F0">
          <w:rPr>
            <w:rFonts w:asciiTheme="majorHAnsi" w:hAnsiTheme="majorHAnsi" w:cstheme="majorHAnsi"/>
            <w:color w:val="0000FF" w:themeColor="hyperlink"/>
            <w:sz w:val="24"/>
            <w:szCs w:val="24"/>
            <w:u w:val="single"/>
            <w:lang w:eastAsia="en-AU"/>
          </w:rPr>
          <w:t>Schools Electronic Funds Management Guidelines</w:t>
        </w:r>
      </w:hyperlink>
      <w:r w:rsidR="006A35F0" w:rsidRPr="006A35F0">
        <w:rPr>
          <w:rFonts w:asciiTheme="majorHAnsi" w:hAnsiTheme="majorHAnsi" w:cstheme="majorHAnsi"/>
          <w:color w:val="0000FF" w:themeColor="hyperlink"/>
          <w:sz w:val="24"/>
          <w:szCs w:val="24"/>
          <w:lang w:eastAsia="en-AU"/>
        </w:rPr>
        <w:t xml:space="preserve"> </w:t>
      </w:r>
      <w:r w:rsidR="006A35F0" w:rsidRPr="006A35F0">
        <w:rPr>
          <w:rFonts w:asciiTheme="majorHAnsi" w:hAnsiTheme="majorHAnsi" w:cstheme="majorHAnsi"/>
          <w:sz w:val="24"/>
          <w:szCs w:val="24"/>
        </w:rPr>
        <w:t xml:space="preserve">and </w:t>
      </w:r>
      <w:hyperlink r:id="rId13" w:history="1">
        <w:r w:rsidR="006A35F0" w:rsidRPr="006A35F0">
          <w:rPr>
            <w:rStyle w:val="Hyperlink"/>
            <w:rFonts w:asciiTheme="majorHAnsi" w:hAnsiTheme="majorHAnsi" w:cstheme="majorHAnsi"/>
            <w:sz w:val="24"/>
            <w:szCs w:val="24"/>
            <w:lang w:eastAsia="en-AU"/>
          </w:rPr>
          <w:t>Section 4 Internal Controls</w:t>
        </w:r>
      </w:hyperlink>
      <w:r w:rsidR="006A35F0" w:rsidRPr="006A35F0">
        <w:rPr>
          <w:rStyle w:val="Hyperlink"/>
          <w:rFonts w:asciiTheme="majorHAnsi" w:hAnsiTheme="majorHAnsi" w:cstheme="majorHAnsi"/>
          <w:sz w:val="24"/>
          <w:szCs w:val="24"/>
          <w:lang w:eastAsia="en-AU"/>
        </w:rPr>
        <w:t xml:space="preserve"> of the Finance Manual for Victorian Government schools.</w:t>
      </w:r>
      <w:r w:rsidR="006A35F0">
        <w:rPr>
          <w:rStyle w:val="Hyperlink"/>
          <w:rFonts w:cstheme="minorHAnsi"/>
          <w:lang w:eastAsia="en-AU"/>
        </w:rPr>
        <w:t xml:space="preserve"> </w:t>
      </w:r>
    </w:p>
    <w:p w14:paraId="1ABD65B2" w14:textId="77777777" w:rsidR="006A35F0" w:rsidRDefault="006A35F0" w:rsidP="006A35F0">
      <w:pPr>
        <w:spacing w:line="22" w:lineRule="atLeast"/>
        <w:rPr>
          <w:rStyle w:val="Hyperlink"/>
          <w:rFonts w:cstheme="minorHAnsi"/>
          <w:lang w:eastAsia="en-AU"/>
        </w:rPr>
      </w:pPr>
    </w:p>
    <w:p w14:paraId="4FE7ED66" w14:textId="2F98FA0C" w:rsidR="00936CAF" w:rsidRPr="00EE67E5" w:rsidRDefault="00936CAF" w:rsidP="006A35F0">
      <w:pPr>
        <w:spacing w:line="22" w:lineRule="atLeast"/>
        <w:rPr>
          <w:rFonts w:asciiTheme="majorHAnsi" w:eastAsiaTheme="majorEastAsia" w:hAnsiTheme="majorHAnsi" w:cstheme="majorHAnsi"/>
          <w:b/>
          <w:color w:val="002060"/>
          <w:sz w:val="24"/>
          <w:szCs w:val="24"/>
        </w:rPr>
      </w:pPr>
      <w:r w:rsidRPr="00EE67E5">
        <w:rPr>
          <w:rFonts w:asciiTheme="majorHAnsi" w:eastAsiaTheme="majorEastAsia" w:hAnsiTheme="majorHAnsi" w:cstheme="majorHAnsi"/>
          <w:b/>
          <w:color w:val="002060"/>
          <w:sz w:val="24"/>
          <w:szCs w:val="24"/>
        </w:rPr>
        <w:t>Implementation</w:t>
      </w:r>
    </w:p>
    <w:p w14:paraId="0F8B3CDF" w14:textId="5AB4677D" w:rsidR="00936CAF" w:rsidRPr="00EE67E5" w:rsidRDefault="00936CAF" w:rsidP="00936CAF">
      <w:pPr>
        <w:pStyle w:val="Default"/>
        <w:numPr>
          <w:ilvl w:val="0"/>
          <w:numId w:val="41"/>
        </w:numPr>
        <w:spacing w:after="160" w:line="22" w:lineRule="atLeast"/>
        <w:jc w:val="both"/>
        <w:rPr>
          <w:rFonts w:asciiTheme="majorHAnsi" w:hAnsiTheme="majorHAnsi" w:cstheme="majorHAnsi"/>
        </w:rPr>
      </w:pPr>
      <w:r w:rsidRPr="00EE67E5">
        <w:rPr>
          <w:rFonts w:asciiTheme="majorHAnsi" w:hAnsiTheme="majorHAnsi" w:cstheme="majorHAnsi"/>
          <w:color w:val="002060"/>
        </w:rPr>
        <w:t>Malvern Central School school council requires that all actions related to internet banking are consistent with The Department’s</w:t>
      </w:r>
      <w:r w:rsidRPr="006A35F0">
        <w:rPr>
          <w:rFonts w:asciiTheme="majorHAnsi" w:hAnsiTheme="majorHAnsi" w:cstheme="majorHAnsi"/>
          <w:color w:val="002060"/>
        </w:rPr>
        <w:t xml:space="preserve"> </w:t>
      </w:r>
      <w:hyperlink r:id="rId14" w:history="1">
        <w:r w:rsidR="006A35F0" w:rsidRPr="006A35F0">
          <w:rPr>
            <w:rFonts w:asciiTheme="majorHAnsi" w:hAnsiTheme="majorHAnsi" w:cstheme="majorHAnsi"/>
            <w:color w:val="0000FF" w:themeColor="hyperlink"/>
            <w:u w:val="single"/>
            <w:lang w:eastAsia="en-AU"/>
          </w:rPr>
          <w:t>Schools Electronic Funds Management Guidelines</w:t>
        </w:r>
      </w:hyperlink>
      <w:r w:rsidR="006A35F0">
        <w:rPr>
          <w:rFonts w:asciiTheme="majorHAnsi" w:hAnsiTheme="majorHAnsi" w:cstheme="majorHAnsi"/>
          <w:color w:val="002060"/>
          <w:lang w:eastAsia="en-AU"/>
        </w:rPr>
        <w:t>.</w:t>
      </w:r>
    </w:p>
    <w:p w14:paraId="6BAAF02E" w14:textId="77777777" w:rsidR="00936CAF" w:rsidRPr="00EE67E5" w:rsidRDefault="00936CAF" w:rsidP="00936CAF">
      <w:pPr>
        <w:pStyle w:val="Default"/>
        <w:numPr>
          <w:ilvl w:val="0"/>
          <w:numId w:val="41"/>
        </w:numPr>
        <w:spacing w:after="160" w:line="22" w:lineRule="atLeast"/>
        <w:jc w:val="both"/>
        <w:rPr>
          <w:rFonts w:asciiTheme="majorHAnsi" w:hAnsiTheme="majorHAnsi" w:cstheme="majorHAnsi"/>
          <w:color w:val="002060"/>
        </w:rPr>
      </w:pPr>
      <w:r w:rsidRPr="00EE67E5">
        <w:rPr>
          <w:rFonts w:asciiTheme="majorHAnsi" w:hAnsiTheme="majorHAnsi" w:cstheme="majorHAnsi"/>
          <w:color w:val="002060"/>
        </w:rPr>
        <w:t xml:space="preserve">Malvern Central School school council approves the use of WestPac Online Banking as the approved software for all internet banking activities as individual authority and security tokens are required. </w:t>
      </w:r>
    </w:p>
    <w:p w14:paraId="17CD0542" w14:textId="77777777" w:rsidR="00936CAF" w:rsidRPr="00EE67E5" w:rsidRDefault="00936CAF" w:rsidP="00936CAF">
      <w:pPr>
        <w:pStyle w:val="Default"/>
        <w:numPr>
          <w:ilvl w:val="0"/>
          <w:numId w:val="41"/>
        </w:numPr>
        <w:spacing w:after="160" w:line="22" w:lineRule="atLeast"/>
        <w:jc w:val="both"/>
        <w:rPr>
          <w:rFonts w:asciiTheme="majorHAnsi" w:hAnsiTheme="majorHAnsi" w:cstheme="majorHAnsi"/>
          <w:color w:val="002060"/>
        </w:rPr>
      </w:pPr>
      <w:r w:rsidRPr="00EE67E5">
        <w:rPr>
          <w:rFonts w:asciiTheme="majorHAnsi" w:hAnsiTheme="majorHAnsi" w:cstheme="majorHAnsi"/>
          <w:color w:val="002060"/>
        </w:rPr>
        <w:t xml:space="preserve">All payments through internet banking software must be consistent with Department requirements and must be authorised by the Principal and one other member of school council nominated by the school council. </w:t>
      </w:r>
    </w:p>
    <w:p w14:paraId="2F4F61DC" w14:textId="77777777" w:rsidR="00936CAF" w:rsidRPr="00EE67E5" w:rsidRDefault="00936CAF" w:rsidP="00936CAF">
      <w:pPr>
        <w:pStyle w:val="Default"/>
        <w:numPr>
          <w:ilvl w:val="0"/>
          <w:numId w:val="41"/>
        </w:numPr>
        <w:spacing w:after="160" w:line="22" w:lineRule="atLeast"/>
        <w:jc w:val="both"/>
        <w:rPr>
          <w:rFonts w:asciiTheme="majorHAnsi" w:hAnsiTheme="majorHAnsi" w:cstheme="majorHAnsi"/>
          <w:color w:val="002060"/>
        </w:rPr>
      </w:pPr>
      <w:r w:rsidRPr="00EE67E5">
        <w:rPr>
          <w:rFonts w:asciiTheme="majorHAnsi" w:hAnsiTheme="majorHAnsi" w:cstheme="majorHAnsi"/>
          <w:color w:val="002060"/>
        </w:rPr>
        <w:t xml:space="preserve">Malvern Central School will undertake maintenance and upgrading of hardware and software as required. </w:t>
      </w:r>
    </w:p>
    <w:p w14:paraId="136A0732" w14:textId="77777777" w:rsidR="00936CAF" w:rsidRPr="00EE67E5" w:rsidRDefault="00936CAF" w:rsidP="00936CAF">
      <w:pPr>
        <w:pStyle w:val="Default"/>
        <w:numPr>
          <w:ilvl w:val="0"/>
          <w:numId w:val="41"/>
        </w:numPr>
        <w:spacing w:after="160" w:line="22" w:lineRule="atLeast"/>
        <w:jc w:val="both"/>
        <w:rPr>
          <w:rFonts w:asciiTheme="majorHAnsi" w:hAnsiTheme="majorHAnsi" w:cstheme="majorHAnsi"/>
          <w:color w:val="002060"/>
        </w:rPr>
      </w:pPr>
      <w:r w:rsidRPr="00EE67E5">
        <w:rPr>
          <w:rFonts w:asciiTheme="majorHAnsi" w:hAnsiTheme="majorHAnsi" w:cstheme="majorHAnsi"/>
          <w:color w:val="002060"/>
        </w:rPr>
        <w:t xml:space="preserve">Malvern Central School will ensure proper retention/disposal of all transaction records relating to accounts such as purchase orders, tax invoices/statements, vouchers, payroll listings and relevant CASES21 reports. </w:t>
      </w:r>
    </w:p>
    <w:p w14:paraId="65A2CD92" w14:textId="77777777" w:rsidR="00936CAF" w:rsidRPr="00EE67E5" w:rsidRDefault="00936CAF" w:rsidP="00936CAF">
      <w:pPr>
        <w:keepNext/>
        <w:keepLines/>
        <w:spacing w:line="22" w:lineRule="atLeast"/>
        <w:jc w:val="both"/>
        <w:outlineLvl w:val="2"/>
        <w:rPr>
          <w:rFonts w:asciiTheme="majorHAnsi" w:eastAsiaTheme="majorEastAsia" w:hAnsiTheme="majorHAnsi" w:cstheme="majorHAnsi"/>
          <w:b/>
          <w:color w:val="002060"/>
          <w:sz w:val="24"/>
          <w:szCs w:val="24"/>
        </w:rPr>
      </w:pPr>
      <w:r w:rsidRPr="00EE67E5">
        <w:rPr>
          <w:rFonts w:asciiTheme="majorHAnsi" w:eastAsiaTheme="majorEastAsia" w:hAnsiTheme="majorHAnsi" w:cstheme="majorHAnsi"/>
          <w:b/>
          <w:color w:val="002060"/>
          <w:sz w:val="24"/>
          <w:szCs w:val="24"/>
        </w:rPr>
        <w:t>EFTPOS</w:t>
      </w:r>
    </w:p>
    <w:p w14:paraId="3394A2B6" w14:textId="77777777" w:rsidR="002242D5" w:rsidRPr="002242D5" w:rsidRDefault="00936CAF" w:rsidP="008E6E84">
      <w:pPr>
        <w:pStyle w:val="ListParagraph"/>
        <w:numPr>
          <w:ilvl w:val="0"/>
          <w:numId w:val="42"/>
        </w:numPr>
        <w:spacing w:after="160" w:line="22" w:lineRule="atLeast"/>
        <w:jc w:val="both"/>
        <w:rPr>
          <w:rFonts w:asciiTheme="majorHAnsi" w:eastAsia="Times New Roman" w:hAnsiTheme="majorHAnsi" w:cstheme="majorHAnsi"/>
          <w:color w:val="002060"/>
          <w:sz w:val="24"/>
          <w:szCs w:val="24"/>
          <w:lang w:eastAsia="en-AU"/>
        </w:rPr>
      </w:pPr>
      <w:r w:rsidRPr="00EE67E5">
        <w:rPr>
          <w:rFonts w:asciiTheme="majorHAnsi" w:eastAsia="Times New Roman" w:hAnsiTheme="majorHAnsi" w:cstheme="majorHAnsi"/>
          <w:color w:val="002060"/>
          <w:sz w:val="24"/>
          <w:szCs w:val="24"/>
          <w:lang w:eastAsia="en-AU"/>
        </w:rPr>
        <w:t xml:space="preserve">The Principal of Malvern Central School, will ensure all staff </w:t>
      </w:r>
      <w:r w:rsidR="002242D5">
        <w:rPr>
          <w:rFonts w:asciiTheme="majorHAnsi" w:eastAsia="Times New Roman" w:hAnsiTheme="majorHAnsi" w:cstheme="majorHAnsi"/>
          <w:color w:val="002060"/>
          <w:sz w:val="24"/>
          <w:szCs w:val="24"/>
          <w:lang w:eastAsia="en-AU"/>
        </w:rPr>
        <w:t xml:space="preserve">and volunteers </w:t>
      </w:r>
      <w:r w:rsidRPr="00EE67E5">
        <w:rPr>
          <w:rFonts w:asciiTheme="majorHAnsi" w:eastAsia="Times New Roman" w:hAnsiTheme="majorHAnsi" w:cstheme="majorHAnsi"/>
          <w:color w:val="002060"/>
          <w:sz w:val="24"/>
          <w:szCs w:val="24"/>
          <w:lang w:eastAsia="en-AU"/>
        </w:rPr>
        <w:t>operating the merchant facility are aware of security requirements</w:t>
      </w:r>
      <w:r w:rsidRPr="00585614">
        <w:rPr>
          <w:rFonts w:asciiTheme="majorHAnsi" w:eastAsia="Times New Roman" w:hAnsiTheme="majorHAnsi" w:cstheme="majorHAnsi"/>
          <w:color w:val="002060"/>
          <w:sz w:val="24"/>
          <w:szCs w:val="24"/>
          <w:lang w:eastAsia="en-AU"/>
        </w:rPr>
        <w:t xml:space="preserve">. </w:t>
      </w:r>
      <w:r w:rsidRPr="00585614">
        <w:rPr>
          <w:rFonts w:asciiTheme="majorHAnsi" w:hAnsiTheme="majorHAnsi" w:cstheme="majorHAnsi"/>
          <w:color w:val="002060"/>
          <w:sz w:val="24"/>
          <w:szCs w:val="24"/>
        </w:rPr>
        <w:t xml:space="preserve"> </w:t>
      </w:r>
    </w:p>
    <w:p w14:paraId="31B55406" w14:textId="517FEC2F" w:rsidR="00936CAF" w:rsidRPr="00EE67E5" w:rsidRDefault="008E6E84" w:rsidP="002242D5">
      <w:pPr>
        <w:pStyle w:val="ListParagraph"/>
        <w:spacing w:after="160" w:line="22" w:lineRule="atLeast"/>
        <w:jc w:val="both"/>
        <w:rPr>
          <w:rFonts w:asciiTheme="majorHAnsi" w:eastAsia="Times New Roman" w:hAnsiTheme="majorHAnsi" w:cstheme="majorHAnsi"/>
          <w:color w:val="002060"/>
          <w:sz w:val="24"/>
          <w:szCs w:val="24"/>
          <w:lang w:eastAsia="en-AU"/>
        </w:rPr>
      </w:pPr>
      <w:r w:rsidRPr="00585614">
        <w:rPr>
          <w:rFonts w:asciiTheme="majorHAnsi" w:eastAsia="Times New Roman" w:hAnsiTheme="majorHAnsi" w:cstheme="majorHAnsi"/>
          <w:color w:val="002060"/>
          <w:sz w:val="24"/>
          <w:szCs w:val="24"/>
          <w:lang w:eastAsia="en-AU"/>
        </w:rPr>
        <w:t xml:space="preserve">At our school, this </w:t>
      </w:r>
      <w:proofErr w:type="gramStart"/>
      <w:r w:rsidRPr="00585614">
        <w:rPr>
          <w:rFonts w:asciiTheme="majorHAnsi" w:eastAsia="Times New Roman" w:hAnsiTheme="majorHAnsi" w:cstheme="majorHAnsi"/>
          <w:color w:val="002060"/>
          <w:sz w:val="24"/>
          <w:szCs w:val="24"/>
          <w:lang w:eastAsia="en-AU"/>
        </w:rPr>
        <w:t>includes:</w:t>
      </w:r>
      <w:proofErr w:type="gramEnd"/>
      <w:r w:rsidR="00302AC2" w:rsidRPr="00585614">
        <w:rPr>
          <w:rFonts w:asciiTheme="majorHAnsi" w:eastAsia="Times New Roman" w:hAnsiTheme="majorHAnsi" w:cstheme="majorHAnsi"/>
          <w:color w:val="002060"/>
          <w:sz w:val="24"/>
          <w:szCs w:val="24"/>
          <w:lang w:eastAsia="en-AU"/>
        </w:rPr>
        <w:t xml:space="preserve"> Training </w:t>
      </w:r>
      <w:r w:rsidR="006A35F0">
        <w:rPr>
          <w:rFonts w:asciiTheme="majorHAnsi" w:eastAsia="Times New Roman" w:hAnsiTheme="majorHAnsi" w:cstheme="majorHAnsi"/>
          <w:color w:val="002060"/>
          <w:sz w:val="24"/>
          <w:szCs w:val="24"/>
          <w:lang w:eastAsia="en-AU"/>
        </w:rPr>
        <w:t xml:space="preserve">facilitated </w:t>
      </w:r>
      <w:r w:rsidR="00302AC2" w:rsidRPr="00585614">
        <w:rPr>
          <w:rFonts w:asciiTheme="majorHAnsi" w:eastAsia="Times New Roman" w:hAnsiTheme="majorHAnsi" w:cstheme="majorHAnsi"/>
          <w:color w:val="002060"/>
          <w:sz w:val="24"/>
          <w:szCs w:val="24"/>
          <w:lang w:eastAsia="en-AU"/>
        </w:rPr>
        <w:t>by authorised personal to users of the EFTPOS machine</w:t>
      </w:r>
      <w:r w:rsidR="006A35F0">
        <w:rPr>
          <w:rFonts w:asciiTheme="majorHAnsi" w:eastAsia="Times New Roman" w:hAnsiTheme="majorHAnsi" w:cstheme="majorHAnsi"/>
          <w:color w:val="002060"/>
          <w:sz w:val="24"/>
          <w:szCs w:val="24"/>
          <w:lang w:eastAsia="en-AU"/>
        </w:rPr>
        <w:t xml:space="preserve">, </w:t>
      </w:r>
      <w:r w:rsidR="00302AC2" w:rsidRPr="00585614">
        <w:rPr>
          <w:rFonts w:asciiTheme="majorHAnsi" w:eastAsia="Times New Roman" w:hAnsiTheme="majorHAnsi" w:cstheme="majorHAnsi"/>
          <w:color w:val="002060"/>
          <w:sz w:val="24"/>
          <w:szCs w:val="24"/>
          <w:lang w:eastAsia="en-AU"/>
        </w:rPr>
        <w:t>merchant receipts must be kept for auditing requirements.</w:t>
      </w:r>
    </w:p>
    <w:p w14:paraId="146538EF" w14:textId="77777777" w:rsidR="00936CAF" w:rsidRPr="00EE67E5" w:rsidRDefault="00936CAF" w:rsidP="00936CAF">
      <w:pPr>
        <w:pStyle w:val="ListParagraph"/>
        <w:numPr>
          <w:ilvl w:val="0"/>
          <w:numId w:val="42"/>
        </w:numPr>
        <w:spacing w:after="160" w:line="22" w:lineRule="atLeast"/>
        <w:jc w:val="both"/>
        <w:rPr>
          <w:rFonts w:asciiTheme="majorHAnsi" w:eastAsia="Times New Roman" w:hAnsiTheme="majorHAnsi" w:cstheme="majorHAnsi"/>
          <w:color w:val="002060"/>
          <w:sz w:val="24"/>
          <w:szCs w:val="24"/>
          <w:lang w:eastAsia="en-AU"/>
        </w:rPr>
      </w:pPr>
      <w:r w:rsidRPr="00EE67E5">
        <w:rPr>
          <w:rFonts w:asciiTheme="majorHAnsi" w:eastAsia="Times New Roman" w:hAnsiTheme="majorHAnsi" w:cstheme="majorHAnsi"/>
          <w:color w:val="002060"/>
          <w:sz w:val="24"/>
          <w:szCs w:val="24"/>
          <w:lang w:eastAsia="en-AU"/>
        </w:rPr>
        <w:t xml:space="preserve">School council minutes must record which staff are authorised to process transactions. </w:t>
      </w:r>
    </w:p>
    <w:p w14:paraId="0A45D8A2" w14:textId="77777777" w:rsidR="00936CAF" w:rsidRPr="00EE67E5" w:rsidRDefault="00936CAF" w:rsidP="00936CAF">
      <w:pPr>
        <w:pStyle w:val="ListParagraph"/>
        <w:numPr>
          <w:ilvl w:val="0"/>
          <w:numId w:val="42"/>
        </w:numPr>
        <w:spacing w:after="160" w:line="22" w:lineRule="atLeast"/>
        <w:jc w:val="both"/>
        <w:rPr>
          <w:rFonts w:asciiTheme="majorHAnsi" w:eastAsia="Times New Roman" w:hAnsiTheme="majorHAnsi" w:cstheme="majorHAnsi"/>
          <w:color w:val="002060"/>
          <w:sz w:val="24"/>
          <w:szCs w:val="24"/>
          <w:lang w:eastAsia="en-AU"/>
        </w:rPr>
      </w:pPr>
      <w:r w:rsidRPr="00EE67E5">
        <w:rPr>
          <w:rFonts w:asciiTheme="majorHAnsi" w:eastAsia="Times New Roman" w:hAnsiTheme="majorHAnsi" w:cstheme="majorHAnsi"/>
          <w:color w:val="002060"/>
          <w:sz w:val="24"/>
          <w:szCs w:val="24"/>
          <w:lang w:eastAsia="en-AU"/>
        </w:rPr>
        <w:t>No “Cash Out” will be permitted on any school EFTPOS facility.</w:t>
      </w:r>
    </w:p>
    <w:p w14:paraId="34946DFC" w14:textId="40DF9CAF" w:rsidR="00936CAF" w:rsidRPr="008E6E84" w:rsidRDefault="00936CAF" w:rsidP="00936CAF">
      <w:pPr>
        <w:pStyle w:val="ListParagraph"/>
        <w:numPr>
          <w:ilvl w:val="0"/>
          <w:numId w:val="42"/>
        </w:numPr>
        <w:spacing w:after="160" w:line="22" w:lineRule="atLeast"/>
        <w:jc w:val="both"/>
        <w:rPr>
          <w:rFonts w:asciiTheme="majorHAnsi" w:eastAsia="Times New Roman" w:hAnsiTheme="majorHAnsi" w:cstheme="majorHAnsi"/>
          <w:color w:val="002060"/>
          <w:sz w:val="24"/>
          <w:szCs w:val="24"/>
          <w:lang w:eastAsia="en-AU"/>
        </w:rPr>
      </w:pPr>
      <w:r w:rsidRPr="008E6E84">
        <w:rPr>
          <w:rFonts w:asciiTheme="majorHAnsi" w:eastAsia="Times New Roman" w:hAnsiTheme="majorHAnsi" w:cstheme="majorHAnsi"/>
          <w:color w:val="002060"/>
          <w:sz w:val="24"/>
          <w:szCs w:val="24"/>
          <w:lang w:eastAsia="en-AU"/>
        </w:rPr>
        <w:t xml:space="preserve">Malvern Central School will </w:t>
      </w:r>
      <w:r w:rsidR="008E6E84" w:rsidRPr="008E6E84">
        <w:rPr>
          <w:rFonts w:asciiTheme="majorHAnsi" w:eastAsia="Times New Roman" w:hAnsiTheme="majorHAnsi" w:cstheme="majorHAnsi"/>
          <w:color w:val="002060"/>
          <w:sz w:val="24"/>
          <w:szCs w:val="24"/>
          <w:lang w:eastAsia="en-AU"/>
        </w:rPr>
        <w:t xml:space="preserve">accept </w:t>
      </w:r>
      <w:r w:rsidRPr="008E6E84">
        <w:rPr>
          <w:rFonts w:asciiTheme="majorHAnsi" w:eastAsia="Times New Roman" w:hAnsiTheme="majorHAnsi" w:cstheme="majorHAnsi"/>
          <w:color w:val="002060"/>
          <w:sz w:val="24"/>
          <w:szCs w:val="24"/>
          <w:lang w:eastAsia="en-AU"/>
        </w:rPr>
        <w:t>EFTPOS transactions via telephone or post.</w:t>
      </w:r>
    </w:p>
    <w:p w14:paraId="2DE9C22C" w14:textId="0EB8185D" w:rsidR="008E6E84" w:rsidRPr="006A35F0" w:rsidRDefault="008E6E84" w:rsidP="008E6E84">
      <w:pPr>
        <w:pStyle w:val="ListParagraph"/>
        <w:numPr>
          <w:ilvl w:val="0"/>
          <w:numId w:val="42"/>
        </w:numPr>
        <w:spacing w:after="160" w:line="22" w:lineRule="atLeast"/>
        <w:jc w:val="both"/>
        <w:rPr>
          <w:rFonts w:asciiTheme="majorHAnsi" w:hAnsiTheme="majorHAnsi" w:cstheme="majorHAnsi"/>
          <w:color w:val="002060"/>
          <w:sz w:val="24"/>
          <w:szCs w:val="24"/>
        </w:rPr>
      </w:pPr>
      <w:r w:rsidRPr="006A35F0">
        <w:rPr>
          <w:rFonts w:asciiTheme="majorHAnsi" w:eastAsia="Times New Roman" w:hAnsiTheme="majorHAnsi" w:cstheme="majorHAnsi"/>
          <w:color w:val="002060"/>
          <w:sz w:val="24"/>
          <w:szCs w:val="24"/>
          <w:u w:val="single"/>
          <w:lang w:eastAsia="en-AU"/>
        </w:rPr>
        <w:t>No refunds</w:t>
      </w:r>
      <w:r w:rsidRPr="006A35F0">
        <w:rPr>
          <w:rFonts w:asciiTheme="majorHAnsi" w:eastAsia="Times New Roman" w:hAnsiTheme="majorHAnsi" w:cstheme="majorHAnsi"/>
          <w:color w:val="002060"/>
          <w:sz w:val="24"/>
          <w:szCs w:val="24"/>
          <w:lang w:eastAsia="en-AU"/>
        </w:rPr>
        <w:t xml:space="preserve"> will be processed through</w:t>
      </w:r>
      <w:r w:rsidR="00302AC2" w:rsidRPr="006A35F0">
        <w:rPr>
          <w:rFonts w:asciiTheme="majorHAnsi" w:eastAsia="Times New Roman" w:hAnsiTheme="majorHAnsi" w:cstheme="majorHAnsi"/>
          <w:color w:val="002060"/>
          <w:sz w:val="24"/>
          <w:szCs w:val="24"/>
          <w:lang w:eastAsia="en-AU"/>
        </w:rPr>
        <w:t xml:space="preserve"> EFTPOS</w:t>
      </w:r>
      <w:r w:rsidRPr="006A35F0">
        <w:rPr>
          <w:rFonts w:asciiTheme="majorHAnsi" w:eastAsia="Times New Roman" w:hAnsiTheme="majorHAnsi" w:cstheme="majorHAnsi"/>
          <w:color w:val="002060"/>
          <w:sz w:val="24"/>
          <w:szCs w:val="24"/>
          <w:lang w:eastAsia="en-AU"/>
        </w:rPr>
        <w:t xml:space="preserve"> </w:t>
      </w:r>
    </w:p>
    <w:p w14:paraId="5D8AB90B" w14:textId="77777777" w:rsidR="008E6E84" w:rsidRPr="00EE67E5" w:rsidRDefault="008E6E84" w:rsidP="008E6E84">
      <w:pPr>
        <w:pStyle w:val="ListParagraph"/>
        <w:spacing w:after="160" w:line="22" w:lineRule="atLeast"/>
        <w:jc w:val="both"/>
        <w:rPr>
          <w:rFonts w:asciiTheme="majorHAnsi" w:eastAsia="Times New Roman" w:hAnsiTheme="majorHAnsi" w:cstheme="majorHAnsi"/>
          <w:color w:val="002060"/>
          <w:sz w:val="24"/>
          <w:szCs w:val="24"/>
          <w:lang w:eastAsia="en-AU"/>
        </w:rPr>
      </w:pPr>
    </w:p>
    <w:p w14:paraId="3D4C19B0" w14:textId="77777777" w:rsidR="00936CAF" w:rsidRPr="00EE67E5" w:rsidRDefault="00936CAF" w:rsidP="00936CAF">
      <w:pPr>
        <w:keepNext/>
        <w:keepLines/>
        <w:spacing w:line="22" w:lineRule="atLeast"/>
        <w:jc w:val="both"/>
        <w:outlineLvl w:val="2"/>
        <w:rPr>
          <w:rFonts w:asciiTheme="majorHAnsi" w:eastAsiaTheme="majorEastAsia" w:hAnsiTheme="majorHAnsi" w:cstheme="majorHAnsi"/>
          <w:b/>
          <w:color w:val="002060"/>
          <w:sz w:val="24"/>
          <w:szCs w:val="24"/>
        </w:rPr>
      </w:pPr>
      <w:r w:rsidRPr="00EE67E5">
        <w:rPr>
          <w:rFonts w:asciiTheme="majorHAnsi" w:eastAsiaTheme="majorEastAsia" w:hAnsiTheme="majorHAnsi" w:cstheme="majorHAnsi"/>
          <w:b/>
          <w:color w:val="002060"/>
          <w:sz w:val="24"/>
          <w:szCs w:val="24"/>
        </w:rPr>
        <w:t>Direct Debit</w:t>
      </w:r>
    </w:p>
    <w:p w14:paraId="2B82572C" w14:textId="77777777" w:rsidR="00936CAF" w:rsidRPr="00EE67E5" w:rsidRDefault="00936CAF" w:rsidP="00936CAF">
      <w:pPr>
        <w:pStyle w:val="Default"/>
        <w:numPr>
          <w:ilvl w:val="0"/>
          <w:numId w:val="43"/>
        </w:numPr>
        <w:spacing w:after="160" w:line="22" w:lineRule="atLeast"/>
        <w:jc w:val="both"/>
        <w:rPr>
          <w:rStyle w:val="Strong"/>
          <w:rFonts w:asciiTheme="majorHAnsi" w:hAnsiTheme="majorHAnsi" w:cstheme="majorHAnsi"/>
          <w:b w:val="0"/>
          <w:bCs w:val="0"/>
          <w:color w:val="002060"/>
        </w:rPr>
      </w:pPr>
      <w:r w:rsidRPr="00EE67E5">
        <w:rPr>
          <w:rFonts w:asciiTheme="majorHAnsi" w:hAnsiTheme="majorHAnsi" w:cstheme="majorHAnsi"/>
          <w:color w:val="002060"/>
        </w:rPr>
        <w:t>All direct debit agreements must be approved and signed by school council prior to implementation.</w:t>
      </w:r>
    </w:p>
    <w:p w14:paraId="4256EB7B" w14:textId="77777777" w:rsidR="00936CAF" w:rsidRPr="00EE67E5" w:rsidRDefault="00936CAF" w:rsidP="00936CAF">
      <w:pPr>
        <w:pStyle w:val="Default"/>
        <w:numPr>
          <w:ilvl w:val="0"/>
          <w:numId w:val="43"/>
        </w:numPr>
        <w:spacing w:after="160" w:line="22" w:lineRule="atLeast"/>
        <w:jc w:val="both"/>
        <w:rPr>
          <w:rFonts w:asciiTheme="majorHAnsi" w:hAnsiTheme="majorHAnsi" w:cstheme="majorHAnsi"/>
          <w:color w:val="002060"/>
        </w:rPr>
      </w:pPr>
      <w:r w:rsidRPr="00EE67E5">
        <w:rPr>
          <w:rFonts w:asciiTheme="majorHAnsi" w:hAnsiTheme="majorHAnsi" w:cstheme="majorHAnsi"/>
          <w:color w:val="002060"/>
        </w:rPr>
        <w:t>The school council requires all suppliers to provide tax invoices/statements to the school prior to direct debiting any funds from the school’s account</w:t>
      </w:r>
    </w:p>
    <w:p w14:paraId="1B94A5E0" w14:textId="116E52A4" w:rsidR="00936CAF" w:rsidRPr="00EE67E5" w:rsidRDefault="00936CAF" w:rsidP="00936CAF">
      <w:pPr>
        <w:pStyle w:val="Default"/>
        <w:numPr>
          <w:ilvl w:val="0"/>
          <w:numId w:val="43"/>
        </w:numPr>
        <w:spacing w:after="160" w:line="22" w:lineRule="atLeast"/>
        <w:jc w:val="both"/>
        <w:rPr>
          <w:rFonts w:asciiTheme="majorHAnsi" w:hAnsiTheme="majorHAnsi" w:cstheme="majorHAnsi"/>
          <w:color w:val="002060"/>
        </w:rPr>
      </w:pPr>
      <w:r w:rsidRPr="00EE67E5">
        <w:rPr>
          <w:rFonts w:asciiTheme="majorHAnsi" w:hAnsiTheme="majorHAnsi" w:cstheme="majorHAnsi"/>
          <w:color w:val="002060"/>
        </w:rPr>
        <w:t xml:space="preserve">A direct debit facility allows </w:t>
      </w:r>
      <w:r w:rsidR="00BB4F5E">
        <w:rPr>
          <w:rFonts w:asciiTheme="majorHAnsi" w:hAnsiTheme="majorHAnsi" w:cstheme="majorHAnsi"/>
          <w:color w:val="002060"/>
        </w:rPr>
        <w:t xml:space="preserve">and external source </w:t>
      </w:r>
      <w:r w:rsidRPr="00EE67E5">
        <w:rPr>
          <w:rFonts w:asciiTheme="majorHAnsi" w:hAnsiTheme="majorHAnsi" w:cstheme="majorHAnsi"/>
          <w:color w:val="002060"/>
        </w:rPr>
        <w:t xml:space="preserve">e.g. VicSuper and Equigroup to a pre-arranged amount of funds from the school’s official account on a pre-arranged date. Any such payments will be authorised as appropriate and required. </w:t>
      </w:r>
    </w:p>
    <w:p w14:paraId="30AC5433" w14:textId="77777777" w:rsidR="00936CAF" w:rsidRPr="00EE67E5" w:rsidRDefault="00936CAF" w:rsidP="00936CAF">
      <w:pPr>
        <w:pStyle w:val="Default"/>
        <w:numPr>
          <w:ilvl w:val="0"/>
          <w:numId w:val="43"/>
        </w:numPr>
        <w:spacing w:after="160" w:line="22" w:lineRule="atLeast"/>
        <w:jc w:val="both"/>
        <w:rPr>
          <w:rFonts w:asciiTheme="majorHAnsi" w:eastAsia="Times New Roman" w:hAnsiTheme="majorHAnsi" w:cstheme="majorHAnsi"/>
          <w:color w:val="002060"/>
          <w:lang w:eastAsia="en-AU"/>
        </w:rPr>
      </w:pPr>
      <w:r w:rsidRPr="00EE67E5">
        <w:rPr>
          <w:rFonts w:asciiTheme="majorHAnsi" w:eastAsia="Times New Roman" w:hAnsiTheme="majorHAnsi" w:cstheme="majorHAnsi"/>
          <w:color w:val="002060"/>
          <w:lang w:eastAsia="en-AU"/>
        </w:rPr>
        <w:t>Malvern Central School will ensure adequate funds are available in the Official Account for the “sweep” of funds to the supplier.</w:t>
      </w:r>
    </w:p>
    <w:p w14:paraId="5E26E97D" w14:textId="77777777" w:rsidR="00936CAF" w:rsidRPr="00EE67E5" w:rsidRDefault="00936CAF" w:rsidP="00936CAF">
      <w:pPr>
        <w:keepNext/>
        <w:keepLines/>
        <w:spacing w:line="22" w:lineRule="atLeast"/>
        <w:jc w:val="both"/>
        <w:outlineLvl w:val="2"/>
        <w:rPr>
          <w:rFonts w:asciiTheme="majorHAnsi" w:eastAsiaTheme="majorEastAsia" w:hAnsiTheme="majorHAnsi" w:cstheme="majorHAnsi"/>
          <w:b/>
          <w:color w:val="002060"/>
          <w:sz w:val="24"/>
          <w:szCs w:val="24"/>
        </w:rPr>
      </w:pPr>
      <w:r w:rsidRPr="00EE67E5">
        <w:rPr>
          <w:rFonts w:asciiTheme="majorHAnsi" w:eastAsiaTheme="majorEastAsia" w:hAnsiTheme="majorHAnsi" w:cstheme="majorHAnsi"/>
          <w:b/>
          <w:color w:val="002060"/>
          <w:sz w:val="24"/>
          <w:szCs w:val="24"/>
        </w:rPr>
        <w:t>Direct Deposit</w:t>
      </w:r>
    </w:p>
    <w:p w14:paraId="15D84CC2" w14:textId="77777777" w:rsidR="00936CAF" w:rsidRPr="00EE67E5" w:rsidRDefault="00936CAF" w:rsidP="00936CAF">
      <w:pPr>
        <w:pStyle w:val="Default"/>
        <w:numPr>
          <w:ilvl w:val="0"/>
          <w:numId w:val="44"/>
        </w:numPr>
        <w:spacing w:after="160" w:line="22" w:lineRule="atLeast"/>
        <w:jc w:val="both"/>
        <w:rPr>
          <w:rFonts w:asciiTheme="majorHAnsi" w:hAnsiTheme="majorHAnsi" w:cstheme="majorHAnsi"/>
          <w:color w:val="002060"/>
        </w:rPr>
      </w:pPr>
      <w:r w:rsidRPr="00EE67E5">
        <w:rPr>
          <w:rFonts w:asciiTheme="majorHAnsi" w:hAnsiTheme="majorHAnsi" w:cstheme="majorHAnsi"/>
          <w:color w:val="002060"/>
        </w:rPr>
        <w:t xml:space="preserve">Malvern Central School utilises a “two user authorisation of payments” banking package, as it contains a greater degree of security and access controls. </w:t>
      </w:r>
    </w:p>
    <w:p w14:paraId="26057AFB" w14:textId="77777777" w:rsidR="00936CAF" w:rsidRPr="00EE67E5" w:rsidRDefault="00936CAF" w:rsidP="00936CAF">
      <w:pPr>
        <w:pStyle w:val="Default"/>
        <w:numPr>
          <w:ilvl w:val="0"/>
          <w:numId w:val="44"/>
        </w:numPr>
        <w:spacing w:after="160" w:line="22" w:lineRule="atLeast"/>
        <w:jc w:val="both"/>
        <w:rPr>
          <w:rFonts w:asciiTheme="majorHAnsi" w:hAnsiTheme="majorHAnsi" w:cstheme="majorHAnsi"/>
          <w:color w:val="002060"/>
        </w:rPr>
      </w:pPr>
      <w:r w:rsidRPr="00EE67E5">
        <w:rPr>
          <w:rFonts w:asciiTheme="majorHAnsi" w:hAnsiTheme="majorHAnsi" w:cstheme="majorHAnsi"/>
          <w:color w:val="002060"/>
        </w:rPr>
        <w:t>Creditor details will be kept up to date and the treatment of GST for creditors will be monitored.</w:t>
      </w:r>
    </w:p>
    <w:p w14:paraId="3B4BB41E" w14:textId="77777777" w:rsidR="00936CAF" w:rsidRPr="00EE67E5" w:rsidRDefault="00936CAF" w:rsidP="00936CAF">
      <w:pPr>
        <w:pStyle w:val="Default"/>
        <w:numPr>
          <w:ilvl w:val="0"/>
          <w:numId w:val="44"/>
        </w:numPr>
        <w:spacing w:after="160" w:line="22" w:lineRule="atLeast"/>
        <w:jc w:val="both"/>
        <w:rPr>
          <w:rFonts w:asciiTheme="majorHAnsi" w:hAnsiTheme="majorHAnsi" w:cstheme="majorHAnsi"/>
          <w:color w:val="002060"/>
        </w:rPr>
      </w:pPr>
      <w:r w:rsidRPr="00EE67E5">
        <w:rPr>
          <w:rFonts w:asciiTheme="majorHAnsi" w:hAnsiTheme="majorHAnsi" w:cstheme="majorHAnsi"/>
          <w:color w:val="002060"/>
        </w:rPr>
        <w:t>Payment transactions will be uploaded as a batch through the CASES21 system.</w:t>
      </w:r>
    </w:p>
    <w:p w14:paraId="6249C0EF" w14:textId="5CCD7906" w:rsidR="00936CAF" w:rsidRDefault="00936CAF" w:rsidP="00936CAF">
      <w:pPr>
        <w:pStyle w:val="Default"/>
        <w:numPr>
          <w:ilvl w:val="0"/>
          <w:numId w:val="44"/>
        </w:numPr>
        <w:spacing w:after="160" w:line="22" w:lineRule="atLeast"/>
        <w:jc w:val="both"/>
        <w:rPr>
          <w:rFonts w:asciiTheme="majorHAnsi" w:hAnsiTheme="majorHAnsi" w:cstheme="majorHAnsi"/>
          <w:color w:val="002060"/>
        </w:rPr>
      </w:pPr>
      <w:r w:rsidRPr="00EE67E5">
        <w:rPr>
          <w:rFonts w:asciiTheme="majorHAnsi" w:hAnsiTheme="majorHAnsi" w:cstheme="majorHAnsi"/>
          <w:color w:val="002060"/>
        </w:rPr>
        <w:t xml:space="preserve">All payments made through the internet banking system must be authorised by two authorised officers. </w:t>
      </w:r>
    </w:p>
    <w:p w14:paraId="6A95464F" w14:textId="7F245BC2" w:rsidR="000201A7" w:rsidRPr="000201A7" w:rsidRDefault="000201A7" w:rsidP="000201A7">
      <w:pPr>
        <w:pStyle w:val="Default"/>
        <w:numPr>
          <w:ilvl w:val="0"/>
          <w:numId w:val="44"/>
        </w:numPr>
        <w:spacing w:after="160" w:line="22" w:lineRule="atLeast"/>
        <w:contextualSpacing/>
        <w:jc w:val="both"/>
        <w:rPr>
          <w:rFonts w:asciiTheme="majorHAnsi" w:hAnsiTheme="majorHAnsi" w:cstheme="majorHAnsi"/>
          <w:color w:val="002060"/>
        </w:rPr>
      </w:pPr>
      <w:r w:rsidRPr="00EE67E5">
        <w:rPr>
          <w:rFonts w:asciiTheme="majorHAnsi" w:eastAsia="Times New Roman" w:hAnsiTheme="majorHAnsi" w:cstheme="majorHAnsi"/>
          <w:color w:val="002060"/>
          <w:lang w:eastAsia="en-AU"/>
        </w:rPr>
        <w:t xml:space="preserve">Malvern Central School have decided refunds will be processed through Direct Deposit </w:t>
      </w:r>
    </w:p>
    <w:p w14:paraId="427B6917" w14:textId="06D8A9FB" w:rsidR="00936CAF" w:rsidRPr="00EE67E5" w:rsidRDefault="00936CAF" w:rsidP="00936CAF">
      <w:pPr>
        <w:pStyle w:val="Default"/>
        <w:numPr>
          <w:ilvl w:val="0"/>
          <w:numId w:val="44"/>
        </w:numPr>
        <w:spacing w:after="160" w:line="22" w:lineRule="atLeast"/>
        <w:jc w:val="both"/>
        <w:rPr>
          <w:rFonts w:asciiTheme="majorHAnsi" w:hAnsiTheme="majorHAnsi" w:cstheme="majorHAnsi"/>
          <w:color w:val="002060"/>
        </w:rPr>
      </w:pPr>
      <w:r w:rsidRPr="00EE67E5">
        <w:rPr>
          <w:rFonts w:asciiTheme="majorHAnsi" w:hAnsiTheme="majorHAnsi" w:cstheme="majorHAnsi"/>
          <w:color w:val="002060"/>
        </w:rPr>
        <w:t>The various internal controls that need to be considered include:</w:t>
      </w:r>
    </w:p>
    <w:p w14:paraId="137B7026" w14:textId="77777777" w:rsidR="00936CAF" w:rsidRPr="00EE67E5" w:rsidRDefault="00936CAF" w:rsidP="00936CAF">
      <w:pPr>
        <w:pStyle w:val="Default"/>
        <w:numPr>
          <w:ilvl w:val="1"/>
          <w:numId w:val="44"/>
        </w:numPr>
        <w:spacing w:after="160" w:line="22" w:lineRule="atLeast"/>
        <w:ind w:left="1434" w:hanging="357"/>
        <w:contextualSpacing/>
        <w:jc w:val="both"/>
        <w:rPr>
          <w:rFonts w:asciiTheme="majorHAnsi" w:hAnsiTheme="majorHAnsi" w:cstheme="majorHAnsi"/>
          <w:color w:val="002060"/>
        </w:rPr>
      </w:pPr>
      <w:r w:rsidRPr="00EE67E5">
        <w:rPr>
          <w:rFonts w:asciiTheme="majorHAnsi" w:hAnsiTheme="majorHAnsi" w:cstheme="majorHAnsi"/>
          <w:color w:val="002060"/>
        </w:rPr>
        <w:t xml:space="preserve">the identification of staff with administrative/authorisation responsibilities </w:t>
      </w:r>
    </w:p>
    <w:p w14:paraId="3C14ADB5" w14:textId="77777777" w:rsidR="003B247A" w:rsidRDefault="00936CAF" w:rsidP="00936CAF">
      <w:pPr>
        <w:pStyle w:val="Default"/>
        <w:numPr>
          <w:ilvl w:val="1"/>
          <w:numId w:val="44"/>
        </w:numPr>
        <w:spacing w:after="160" w:line="22" w:lineRule="atLeast"/>
        <w:ind w:left="1434" w:hanging="357"/>
        <w:contextualSpacing/>
        <w:jc w:val="both"/>
        <w:rPr>
          <w:rFonts w:asciiTheme="majorHAnsi" w:hAnsiTheme="majorHAnsi" w:cstheme="majorHAnsi"/>
          <w:color w:val="002060"/>
        </w:rPr>
      </w:pPr>
      <w:r w:rsidRPr="00EE67E5">
        <w:rPr>
          <w:rFonts w:asciiTheme="majorHAnsi" w:hAnsiTheme="majorHAnsi" w:cstheme="majorHAnsi"/>
          <w:color w:val="002060"/>
        </w:rPr>
        <w:t>the identification of payment authorisers</w:t>
      </w:r>
      <w:r w:rsidR="003B247A">
        <w:rPr>
          <w:rFonts w:asciiTheme="majorHAnsi" w:hAnsiTheme="majorHAnsi" w:cstheme="majorHAnsi"/>
          <w:color w:val="002060"/>
        </w:rPr>
        <w:t>/signatory responsibilities</w:t>
      </w:r>
    </w:p>
    <w:p w14:paraId="58915319" w14:textId="77777777" w:rsidR="003B247A" w:rsidRPr="00585614" w:rsidRDefault="003B247A" w:rsidP="003B247A">
      <w:pPr>
        <w:pStyle w:val="Default"/>
        <w:numPr>
          <w:ilvl w:val="1"/>
          <w:numId w:val="44"/>
        </w:numPr>
        <w:spacing w:after="160" w:line="22" w:lineRule="atLeast"/>
        <w:contextualSpacing/>
        <w:jc w:val="both"/>
        <w:rPr>
          <w:rFonts w:asciiTheme="majorHAnsi" w:hAnsiTheme="majorHAnsi" w:cstheme="majorHAnsi"/>
          <w:color w:val="002060"/>
        </w:rPr>
      </w:pPr>
      <w:r w:rsidRPr="00585614">
        <w:rPr>
          <w:rFonts w:asciiTheme="majorHAnsi" w:hAnsiTheme="majorHAnsi" w:cstheme="majorHAnsi"/>
          <w:color w:val="002060"/>
        </w:rPr>
        <w:t>the Business Manager must not have banking authorisation/signatory responsibilities other than for the transferring of funds between school bank accounts</w:t>
      </w:r>
    </w:p>
    <w:p w14:paraId="2AC68CAA" w14:textId="1BF9C899" w:rsidR="00936CAF" w:rsidRPr="003B247A" w:rsidRDefault="00936CAF" w:rsidP="003B247A">
      <w:pPr>
        <w:pStyle w:val="Default"/>
        <w:numPr>
          <w:ilvl w:val="1"/>
          <w:numId w:val="44"/>
        </w:numPr>
        <w:spacing w:after="160" w:line="22" w:lineRule="atLeast"/>
        <w:contextualSpacing/>
        <w:jc w:val="both"/>
        <w:rPr>
          <w:rFonts w:asciiTheme="majorHAnsi" w:hAnsiTheme="majorHAnsi" w:cstheme="majorHAnsi"/>
          <w:color w:val="002060"/>
        </w:rPr>
      </w:pPr>
      <w:r w:rsidRPr="003B247A">
        <w:rPr>
          <w:rFonts w:asciiTheme="majorHAnsi" w:hAnsiTheme="majorHAnsi" w:cstheme="majorHAnsi"/>
          <w:color w:val="002060"/>
        </w:rPr>
        <w:t xml:space="preserve">the allocation and security of personal identification number (PIN) information or software authorisation tokens </w:t>
      </w:r>
    </w:p>
    <w:p w14:paraId="1E0F1EBE" w14:textId="77777777" w:rsidR="00936CAF" w:rsidRPr="00EE67E5" w:rsidRDefault="00936CAF" w:rsidP="00936CAF">
      <w:pPr>
        <w:pStyle w:val="Default"/>
        <w:numPr>
          <w:ilvl w:val="1"/>
          <w:numId w:val="44"/>
        </w:numPr>
        <w:spacing w:after="160" w:line="22" w:lineRule="atLeast"/>
        <w:ind w:left="1434" w:hanging="357"/>
        <w:contextualSpacing/>
        <w:jc w:val="both"/>
        <w:rPr>
          <w:rFonts w:asciiTheme="majorHAnsi" w:hAnsiTheme="majorHAnsi" w:cstheme="majorHAnsi"/>
          <w:color w:val="002060"/>
        </w:rPr>
      </w:pPr>
      <w:r w:rsidRPr="00EE67E5">
        <w:rPr>
          <w:rFonts w:asciiTheme="majorHAnsi" w:hAnsiTheme="majorHAnsi" w:cstheme="majorHAnsi"/>
          <w:color w:val="002060"/>
        </w:rPr>
        <w:t xml:space="preserve">the setting up of payee details in CASES21 </w:t>
      </w:r>
    </w:p>
    <w:p w14:paraId="451B1ADB" w14:textId="77777777" w:rsidR="00936CAF" w:rsidRPr="00EE67E5" w:rsidRDefault="00936CAF" w:rsidP="00936CAF">
      <w:pPr>
        <w:pStyle w:val="Default"/>
        <w:numPr>
          <w:ilvl w:val="1"/>
          <w:numId w:val="44"/>
        </w:numPr>
        <w:spacing w:after="160" w:line="22" w:lineRule="atLeast"/>
        <w:ind w:left="1434" w:hanging="357"/>
        <w:contextualSpacing/>
        <w:jc w:val="both"/>
        <w:rPr>
          <w:rFonts w:asciiTheme="majorHAnsi" w:hAnsiTheme="majorHAnsi" w:cstheme="majorHAnsi"/>
          <w:color w:val="002060"/>
        </w:rPr>
      </w:pPr>
      <w:r w:rsidRPr="00EE67E5">
        <w:rPr>
          <w:rFonts w:asciiTheme="majorHAnsi" w:hAnsiTheme="majorHAnsi" w:cstheme="majorHAnsi"/>
          <w:color w:val="002060"/>
        </w:rPr>
        <w:t xml:space="preserve">the authorisation of transfer of funds from the official account to payee accounts </w:t>
      </w:r>
    </w:p>
    <w:p w14:paraId="3BE20BC1" w14:textId="77777777" w:rsidR="00936CAF" w:rsidRPr="00EE67E5" w:rsidRDefault="00936CAF" w:rsidP="00936CAF">
      <w:pPr>
        <w:pStyle w:val="Default"/>
        <w:numPr>
          <w:ilvl w:val="1"/>
          <w:numId w:val="45"/>
        </w:numPr>
        <w:spacing w:after="160" w:line="22" w:lineRule="atLeast"/>
        <w:ind w:left="1434" w:hanging="357"/>
        <w:contextualSpacing/>
        <w:jc w:val="both"/>
        <w:rPr>
          <w:rFonts w:asciiTheme="majorHAnsi" w:hAnsiTheme="majorHAnsi" w:cstheme="majorHAnsi"/>
          <w:color w:val="002060"/>
        </w:rPr>
      </w:pPr>
      <w:r w:rsidRPr="00EE67E5">
        <w:rPr>
          <w:rFonts w:asciiTheme="majorHAnsi" w:hAnsiTheme="majorHAnsi" w:cstheme="majorHAnsi"/>
          <w:color w:val="002060"/>
        </w:rPr>
        <w:t>alternative procedures for processing, using the direct deposit facility, for periods of Business Manager’s and Principal leave of absence.</w:t>
      </w:r>
    </w:p>
    <w:p w14:paraId="69E9B225" w14:textId="77777777" w:rsidR="00936CAF" w:rsidRPr="00EE67E5" w:rsidRDefault="00936CAF" w:rsidP="00936CAF">
      <w:pPr>
        <w:pStyle w:val="Default"/>
        <w:spacing w:after="160" w:line="22" w:lineRule="atLeast"/>
        <w:ind w:left="1077"/>
        <w:contextualSpacing/>
        <w:jc w:val="both"/>
        <w:rPr>
          <w:rFonts w:asciiTheme="majorHAnsi" w:hAnsiTheme="majorHAnsi" w:cstheme="majorHAnsi"/>
          <w:color w:val="002060"/>
        </w:rPr>
      </w:pPr>
    </w:p>
    <w:p w14:paraId="2BCA81E6" w14:textId="77777777" w:rsidR="00936CAF" w:rsidRPr="00EE67E5" w:rsidRDefault="00936CAF" w:rsidP="00936CAF">
      <w:pPr>
        <w:keepNext/>
        <w:keepLines/>
        <w:spacing w:line="22" w:lineRule="atLeast"/>
        <w:jc w:val="both"/>
        <w:outlineLvl w:val="2"/>
        <w:rPr>
          <w:rFonts w:asciiTheme="majorHAnsi" w:eastAsiaTheme="majorEastAsia" w:hAnsiTheme="majorHAnsi" w:cstheme="majorHAnsi"/>
          <w:b/>
          <w:color w:val="002060"/>
          <w:sz w:val="24"/>
          <w:szCs w:val="24"/>
        </w:rPr>
      </w:pPr>
      <w:proofErr w:type="spellStart"/>
      <w:r w:rsidRPr="00EE67E5">
        <w:rPr>
          <w:rFonts w:asciiTheme="majorHAnsi" w:eastAsiaTheme="majorEastAsia" w:hAnsiTheme="majorHAnsi" w:cstheme="majorHAnsi"/>
          <w:b/>
          <w:color w:val="002060"/>
          <w:sz w:val="24"/>
          <w:szCs w:val="24"/>
        </w:rPr>
        <w:t>BPay</w:t>
      </w:r>
      <w:proofErr w:type="spellEnd"/>
    </w:p>
    <w:p w14:paraId="12E61179" w14:textId="77777777" w:rsidR="00936CAF" w:rsidRPr="00EE67E5" w:rsidRDefault="00936CAF" w:rsidP="00936CAF">
      <w:pPr>
        <w:autoSpaceDE w:val="0"/>
        <w:autoSpaceDN w:val="0"/>
        <w:adjustRightInd w:val="0"/>
        <w:spacing w:line="22" w:lineRule="atLeast"/>
        <w:jc w:val="both"/>
        <w:rPr>
          <w:rFonts w:asciiTheme="majorHAnsi" w:hAnsiTheme="majorHAnsi" w:cstheme="majorHAnsi"/>
          <w:color w:val="002060"/>
          <w:sz w:val="24"/>
          <w:szCs w:val="24"/>
        </w:rPr>
      </w:pPr>
      <w:r w:rsidRPr="00EE67E5">
        <w:rPr>
          <w:rFonts w:asciiTheme="majorHAnsi" w:hAnsiTheme="majorHAnsi" w:cstheme="majorHAnsi"/>
          <w:color w:val="002060"/>
          <w:sz w:val="24"/>
          <w:szCs w:val="24"/>
        </w:rPr>
        <w:t>Malvern Central School school council will approve in writing the school council’s decision for the utilisation of BPAY.</w:t>
      </w:r>
    </w:p>
    <w:p w14:paraId="1F391C49" w14:textId="77777777" w:rsidR="00936CAF" w:rsidRPr="00EE67E5" w:rsidRDefault="00936CAF" w:rsidP="00936CAF">
      <w:pPr>
        <w:autoSpaceDE w:val="0"/>
        <w:autoSpaceDN w:val="0"/>
        <w:adjustRightInd w:val="0"/>
        <w:spacing w:line="22" w:lineRule="atLeast"/>
        <w:jc w:val="both"/>
        <w:rPr>
          <w:rFonts w:asciiTheme="majorHAnsi" w:hAnsiTheme="majorHAnsi" w:cstheme="majorHAnsi"/>
          <w:color w:val="002060"/>
          <w:sz w:val="24"/>
          <w:szCs w:val="24"/>
        </w:rPr>
      </w:pPr>
      <w:r w:rsidRPr="00EE67E5">
        <w:rPr>
          <w:rFonts w:asciiTheme="majorHAnsi" w:hAnsiTheme="majorHAnsi" w:cstheme="majorHAnsi"/>
          <w:color w:val="002060"/>
          <w:sz w:val="24"/>
          <w:szCs w:val="24"/>
        </w:rPr>
        <w:t>Payments made by BPay are subject to the same requirements as for all transactions relating to accounts such as:</w:t>
      </w:r>
    </w:p>
    <w:p w14:paraId="6CFEE160" w14:textId="77777777" w:rsidR="00936CAF" w:rsidRPr="00EE67E5" w:rsidRDefault="00936CAF" w:rsidP="00936CAF">
      <w:pPr>
        <w:pStyle w:val="ListParagraph"/>
        <w:numPr>
          <w:ilvl w:val="0"/>
          <w:numId w:val="39"/>
        </w:numPr>
        <w:autoSpaceDE w:val="0"/>
        <w:autoSpaceDN w:val="0"/>
        <w:adjustRightInd w:val="0"/>
        <w:spacing w:after="160" w:line="22" w:lineRule="atLeast"/>
        <w:jc w:val="both"/>
        <w:rPr>
          <w:rFonts w:asciiTheme="majorHAnsi" w:hAnsiTheme="majorHAnsi" w:cstheme="majorHAnsi"/>
          <w:color w:val="002060"/>
          <w:sz w:val="24"/>
          <w:szCs w:val="24"/>
        </w:rPr>
      </w:pPr>
      <w:r w:rsidRPr="00EE67E5">
        <w:rPr>
          <w:rFonts w:asciiTheme="majorHAnsi" w:hAnsiTheme="majorHAnsi" w:cstheme="majorHAnsi"/>
          <w:color w:val="002060"/>
          <w:sz w:val="24"/>
          <w:szCs w:val="24"/>
        </w:rPr>
        <w:t>purchase orders</w:t>
      </w:r>
    </w:p>
    <w:p w14:paraId="09191D4F" w14:textId="77777777" w:rsidR="00936CAF" w:rsidRPr="00EE67E5" w:rsidRDefault="00936CAF" w:rsidP="00936CAF">
      <w:pPr>
        <w:pStyle w:val="ListParagraph"/>
        <w:numPr>
          <w:ilvl w:val="0"/>
          <w:numId w:val="39"/>
        </w:numPr>
        <w:autoSpaceDE w:val="0"/>
        <w:autoSpaceDN w:val="0"/>
        <w:adjustRightInd w:val="0"/>
        <w:spacing w:after="160" w:line="22" w:lineRule="atLeast"/>
        <w:jc w:val="both"/>
        <w:rPr>
          <w:rFonts w:asciiTheme="majorHAnsi" w:hAnsiTheme="majorHAnsi" w:cstheme="majorHAnsi"/>
          <w:color w:val="002060"/>
          <w:sz w:val="24"/>
          <w:szCs w:val="24"/>
        </w:rPr>
      </w:pPr>
      <w:r w:rsidRPr="00EE67E5">
        <w:rPr>
          <w:rFonts w:asciiTheme="majorHAnsi" w:hAnsiTheme="majorHAnsi" w:cstheme="majorHAnsi"/>
          <w:color w:val="002060"/>
          <w:sz w:val="24"/>
          <w:szCs w:val="24"/>
        </w:rPr>
        <w:t>tax invoices/statements</w:t>
      </w:r>
    </w:p>
    <w:p w14:paraId="238615E0" w14:textId="77777777" w:rsidR="00936CAF" w:rsidRPr="00EE67E5" w:rsidRDefault="00936CAF" w:rsidP="00936CAF">
      <w:pPr>
        <w:pStyle w:val="ListParagraph"/>
        <w:numPr>
          <w:ilvl w:val="0"/>
          <w:numId w:val="39"/>
        </w:numPr>
        <w:autoSpaceDE w:val="0"/>
        <w:autoSpaceDN w:val="0"/>
        <w:adjustRightInd w:val="0"/>
        <w:spacing w:after="160" w:line="22" w:lineRule="atLeast"/>
        <w:jc w:val="both"/>
        <w:rPr>
          <w:rFonts w:asciiTheme="majorHAnsi" w:hAnsiTheme="majorHAnsi" w:cstheme="majorHAnsi"/>
          <w:color w:val="002060"/>
          <w:sz w:val="24"/>
          <w:szCs w:val="24"/>
        </w:rPr>
      </w:pPr>
      <w:r w:rsidRPr="00EE67E5">
        <w:rPr>
          <w:rFonts w:asciiTheme="majorHAnsi" w:hAnsiTheme="majorHAnsi" w:cstheme="majorHAnsi"/>
          <w:color w:val="002060"/>
          <w:sz w:val="24"/>
          <w:szCs w:val="24"/>
        </w:rPr>
        <w:t>payment vouchers</w:t>
      </w:r>
    </w:p>
    <w:p w14:paraId="6A01F25D" w14:textId="77777777" w:rsidR="00936CAF" w:rsidRPr="00EE67E5" w:rsidRDefault="00936CAF" w:rsidP="00936CAF">
      <w:pPr>
        <w:pStyle w:val="ListParagraph"/>
        <w:numPr>
          <w:ilvl w:val="0"/>
          <w:numId w:val="39"/>
        </w:numPr>
        <w:autoSpaceDE w:val="0"/>
        <w:autoSpaceDN w:val="0"/>
        <w:adjustRightInd w:val="0"/>
        <w:spacing w:after="160" w:line="22" w:lineRule="atLeast"/>
        <w:jc w:val="both"/>
        <w:rPr>
          <w:rFonts w:asciiTheme="majorHAnsi" w:hAnsiTheme="majorHAnsi" w:cstheme="majorHAnsi"/>
          <w:color w:val="002060"/>
          <w:sz w:val="24"/>
          <w:szCs w:val="24"/>
        </w:rPr>
      </w:pPr>
      <w:r w:rsidRPr="00EE67E5">
        <w:rPr>
          <w:rFonts w:asciiTheme="majorHAnsi" w:hAnsiTheme="majorHAnsi" w:cstheme="majorHAnsi"/>
          <w:color w:val="002060"/>
          <w:sz w:val="24"/>
          <w:szCs w:val="24"/>
        </w:rPr>
        <w:t>signed screen prints and payee details</w:t>
      </w:r>
    </w:p>
    <w:p w14:paraId="67BBB845" w14:textId="77777777" w:rsidR="00936CAF" w:rsidRPr="00EE67E5" w:rsidRDefault="00936CAF" w:rsidP="00936CAF">
      <w:pPr>
        <w:pStyle w:val="ListParagraph"/>
        <w:numPr>
          <w:ilvl w:val="0"/>
          <w:numId w:val="39"/>
        </w:numPr>
        <w:autoSpaceDE w:val="0"/>
        <w:autoSpaceDN w:val="0"/>
        <w:adjustRightInd w:val="0"/>
        <w:spacing w:after="160" w:line="22" w:lineRule="atLeast"/>
        <w:jc w:val="both"/>
        <w:rPr>
          <w:rFonts w:asciiTheme="majorHAnsi" w:hAnsiTheme="majorHAnsi" w:cstheme="majorHAnsi"/>
          <w:color w:val="002060"/>
          <w:sz w:val="24"/>
          <w:szCs w:val="24"/>
        </w:rPr>
      </w:pPr>
      <w:r w:rsidRPr="00EE67E5">
        <w:rPr>
          <w:rFonts w:asciiTheme="majorHAnsi" w:hAnsiTheme="majorHAnsi" w:cstheme="majorHAnsi"/>
          <w:color w:val="002060"/>
          <w:sz w:val="24"/>
          <w:szCs w:val="24"/>
        </w:rPr>
        <w:t>relevant CASES21 reports etc.</w:t>
      </w:r>
    </w:p>
    <w:p w14:paraId="27990AC8" w14:textId="77777777" w:rsidR="00936CAF" w:rsidRPr="00EE67E5" w:rsidRDefault="00936CAF" w:rsidP="00936CAF">
      <w:pPr>
        <w:autoSpaceDE w:val="0"/>
        <w:autoSpaceDN w:val="0"/>
        <w:adjustRightInd w:val="0"/>
        <w:spacing w:line="22" w:lineRule="atLeast"/>
        <w:jc w:val="both"/>
        <w:rPr>
          <w:rFonts w:asciiTheme="majorHAnsi" w:hAnsiTheme="majorHAnsi" w:cstheme="majorHAnsi"/>
          <w:color w:val="002060"/>
          <w:sz w:val="24"/>
          <w:szCs w:val="24"/>
        </w:rPr>
      </w:pPr>
      <w:r w:rsidRPr="00EE67E5">
        <w:rPr>
          <w:rFonts w:asciiTheme="majorHAnsi" w:hAnsiTheme="majorHAnsi" w:cstheme="majorHAnsi"/>
          <w:color w:val="002060"/>
          <w:sz w:val="24"/>
          <w:szCs w:val="24"/>
        </w:rPr>
        <w:lastRenderedPageBreak/>
        <w:t>This includes a requirement for the principal to sign and date BPay transaction receipts attached to authorised payment vouchers.</w:t>
      </w:r>
    </w:p>
    <w:p w14:paraId="141C74F6" w14:textId="77777777" w:rsidR="00936CAF" w:rsidRPr="00EE67E5" w:rsidRDefault="00936CAF" w:rsidP="00936CAF">
      <w:pPr>
        <w:keepNext/>
        <w:keepLines/>
        <w:spacing w:line="22" w:lineRule="atLeast"/>
        <w:jc w:val="both"/>
        <w:outlineLvl w:val="1"/>
        <w:rPr>
          <w:rFonts w:asciiTheme="majorHAnsi" w:eastAsiaTheme="majorEastAsia" w:hAnsiTheme="majorHAnsi" w:cstheme="majorHAnsi"/>
          <w:b/>
          <w:caps/>
          <w:color w:val="002060"/>
          <w:sz w:val="24"/>
          <w:szCs w:val="24"/>
        </w:rPr>
      </w:pPr>
    </w:p>
    <w:p w14:paraId="353F5AB9" w14:textId="7336B075" w:rsidR="00936CAF" w:rsidRPr="00EE67E5" w:rsidRDefault="00936CAF" w:rsidP="00936CAF">
      <w:pPr>
        <w:keepNext/>
        <w:keepLines/>
        <w:spacing w:line="22" w:lineRule="atLeast"/>
        <w:jc w:val="both"/>
        <w:outlineLvl w:val="1"/>
        <w:rPr>
          <w:rFonts w:asciiTheme="majorHAnsi" w:eastAsiaTheme="majorEastAsia" w:hAnsiTheme="majorHAnsi" w:cstheme="majorHAnsi"/>
          <w:b/>
          <w:caps/>
          <w:color w:val="002060"/>
          <w:sz w:val="24"/>
          <w:szCs w:val="24"/>
        </w:rPr>
      </w:pPr>
      <w:r w:rsidRPr="00EE67E5">
        <w:rPr>
          <w:rFonts w:asciiTheme="majorHAnsi" w:eastAsiaTheme="majorEastAsia" w:hAnsiTheme="majorHAnsi" w:cstheme="majorHAnsi"/>
          <w:b/>
          <w:caps/>
          <w:color w:val="002060"/>
          <w:sz w:val="24"/>
          <w:szCs w:val="24"/>
        </w:rPr>
        <w:t>Further Information and Resources</w:t>
      </w:r>
    </w:p>
    <w:p w14:paraId="09074935" w14:textId="77777777" w:rsidR="000201A7" w:rsidRPr="000201A7" w:rsidRDefault="000201A7" w:rsidP="000201A7">
      <w:pPr>
        <w:pStyle w:val="ListParagraph"/>
        <w:numPr>
          <w:ilvl w:val="0"/>
          <w:numId w:val="40"/>
        </w:numPr>
        <w:spacing w:after="0" w:line="22" w:lineRule="atLeast"/>
        <w:jc w:val="both"/>
        <w:rPr>
          <w:rFonts w:asciiTheme="majorHAnsi" w:hAnsiTheme="majorHAnsi" w:cstheme="majorHAnsi"/>
          <w:color w:val="002060"/>
          <w:sz w:val="24"/>
          <w:szCs w:val="24"/>
        </w:rPr>
      </w:pPr>
      <w:r w:rsidRPr="000201A7">
        <w:rPr>
          <w:rFonts w:asciiTheme="majorHAnsi" w:hAnsiTheme="majorHAnsi" w:cstheme="majorHAnsi"/>
          <w:color w:val="002060"/>
          <w:sz w:val="24"/>
          <w:szCs w:val="24"/>
        </w:rPr>
        <w:t xml:space="preserve">Finance Manual for Victorian Government Schools  </w:t>
      </w:r>
    </w:p>
    <w:p w14:paraId="7790363D" w14:textId="77777777" w:rsidR="000201A7" w:rsidRPr="000201A7" w:rsidRDefault="000201A7" w:rsidP="000201A7">
      <w:pPr>
        <w:numPr>
          <w:ilvl w:val="1"/>
          <w:numId w:val="40"/>
        </w:numPr>
        <w:spacing w:after="0" w:line="22" w:lineRule="atLeast"/>
        <w:ind w:left="1434" w:hanging="357"/>
        <w:contextualSpacing/>
        <w:jc w:val="both"/>
        <w:rPr>
          <w:rStyle w:val="Hyperlink"/>
          <w:rFonts w:asciiTheme="majorHAnsi" w:hAnsiTheme="majorHAnsi" w:cstheme="majorHAnsi"/>
          <w:sz w:val="24"/>
          <w:szCs w:val="24"/>
          <w:lang w:eastAsia="en-AU"/>
        </w:rPr>
      </w:pPr>
      <w:r w:rsidRPr="000201A7">
        <w:rPr>
          <w:rFonts w:asciiTheme="majorHAnsi" w:hAnsiTheme="majorHAnsi" w:cstheme="majorHAnsi"/>
          <w:sz w:val="24"/>
          <w:szCs w:val="24"/>
          <w:lang w:eastAsia="en-AU"/>
        </w:rPr>
        <w:fldChar w:fldCharType="begin"/>
      </w:r>
      <w:r w:rsidRPr="000201A7">
        <w:rPr>
          <w:rFonts w:asciiTheme="majorHAnsi" w:hAnsiTheme="majorHAnsi" w:cstheme="majorHAnsi"/>
          <w:sz w:val="24"/>
          <w:szCs w:val="24"/>
          <w:lang w:eastAsia="en-AU"/>
        </w:rPr>
        <w:instrText xml:space="preserve"> HYPERLINK "https://www2.education.vic.gov.au/pal/risk-management-finance-manual-section-3/policy" </w:instrText>
      </w:r>
      <w:r w:rsidRPr="000201A7">
        <w:rPr>
          <w:rFonts w:asciiTheme="majorHAnsi" w:hAnsiTheme="majorHAnsi" w:cstheme="majorHAnsi"/>
          <w:sz w:val="24"/>
          <w:szCs w:val="24"/>
          <w:lang w:eastAsia="en-AU"/>
        </w:rPr>
      </w:r>
      <w:r w:rsidRPr="000201A7">
        <w:rPr>
          <w:rFonts w:asciiTheme="majorHAnsi" w:hAnsiTheme="majorHAnsi" w:cstheme="majorHAnsi"/>
          <w:sz w:val="24"/>
          <w:szCs w:val="24"/>
          <w:lang w:eastAsia="en-AU"/>
        </w:rPr>
        <w:fldChar w:fldCharType="separate"/>
      </w:r>
      <w:r w:rsidRPr="000201A7">
        <w:rPr>
          <w:rStyle w:val="Hyperlink"/>
          <w:rFonts w:asciiTheme="majorHAnsi" w:hAnsiTheme="majorHAnsi" w:cstheme="majorHAnsi"/>
          <w:sz w:val="24"/>
          <w:szCs w:val="24"/>
          <w:lang w:eastAsia="en-AU"/>
        </w:rPr>
        <w:t>Section 3 Risk Management</w:t>
      </w:r>
    </w:p>
    <w:p w14:paraId="727DC701" w14:textId="77777777" w:rsidR="000201A7" w:rsidRPr="000201A7" w:rsidRDefault="000201A7" w:rsidP="000201A7">
      <w:pPr>
        <w:numPr>
          <w:ilvl w:val="1"/>
          <w:numId w:val="40"/>
        </w:numPr>
        <w:spacing w:after="0" w:line="22" w:lineRule="atLeast"/>
        <w:ind w:left="1434" w:hanging="357"/>
        <w:contextualSpacing/>
        <w:jc w:val="both"/>
        <w:rPr>
          <w:rStyle w:val="Hyperlink"/>
          <w:rFonts w:asciiTheme="majorHAnsi" w:hAnsiTheme="majorHAnsi" w:cstheme="majorHAnsi"/>
          <w:sz w:val="24"/>
          <w:szCs w:val="24"/>
          <w:lang w:eastAsia="en-AU"/>
        </w:rPr>
      </w:pPr>
      <w:r w:rsidRPr="000201A7">
        <w:rPr>
          <w:rFonts w:asciiTheme="majorHAnsi" w:hAnsiTheme="majorHAnsi" w:cstheme="majorHAnsi"/>
          <w:sz w:val="24"/>
          <w:szCs w:val="24"/>
          <w:lang w:eastAsia="en-AU"/>
        </w:rPr>
        <w:fldChar w:fldCharType="end"/>
      </w:r>
      <w:r w:rsidRPr="000201A7">
        <w:rPr>
          <w:rFonts w:asciiTheme="majorHAnsi" w:hAnsiTheme="majorHAnsi" w:cstheme="majorHAnsi"/>
          <w:sz w:val="24"/>
          <w:szCs w:val="24"/>
          <w:lang w:eastAsia="en-AU"/>
        </w:rPr>
        <w:fldChar w:fldCharType="begin"/>
      </w:r>
      <w:r w:rsidRPr="000201A7">
        <w:rPr>
          <w:rFonts w:asciiTheme="majorHAnsi" w:hAnsiTheme="majorHAnsi" w:cstheme="majorHAnsi"/>
          <w:sz w:val="24"/>
          <w:szCs w:val="24"/>
          <w:lang w:eastAsia="en-AU"/>
        </w:rPr>
        <w:instrText xml:space="preserve"> HYPERLINK "https://www2.education.vic.gov.au/pal/internal-controls-finance-manual-section-4/policy" </w:instrText>
      </w:r>
      <w:r w:rsidRPr="000201A7">
        <w:rPr>
          <w:rFonts w:asciiTheme="majorHAnsi" w:hAnsiTheme="majorHAnsi" w:cstheme="majorHAnsi"/>
          <w:sz w:val="24"/>
          <w:szCs w:val="24"/>
          <w:lang w:eastAsia="en-AU"/>
        </w:rPr>
      </w:r>
      <w:r w:rsidRPr="000201A7">
        <w:rPr>
          <w:rFonts w:asciiTheme="majorHAnsi" w:hAnsiTheme="majorHAnsi" w:cstheme="majorHAnsi"/>
          <w:sz w:val="24"/>
          <w:szCs w:val="24"/>
          <w:lang w:eastAsia="en-AU"/>
        </w:rPr>
        <w:fldChar w:fldCharType="separate"/>
      </w:r>
      <w:r w:rsidRPr="000201A7">
        <w:rPr>
          <w:rStyle w:val="Hyperlink"/>
          <w:rFonts w:asciiTheme="majorHAnsi" w:hAnsiTheme="majorHAnsi" w:cstheme="majorHAnsi"/>
          <w:sz w:val="24"/>
          <w:szCs w:val="24"/>
          <w:lang w:eastAsia="en-AU"/>
        </w:rPr>
        <w:t>Section 4 Internal Controls</w:t>
      </w:r>
    </w:p>
    <w:p w14:paraId="5E487383" w14:textId="77777777" w:rsidR="000201A7" w:rsidRPr="000201A7" w:rsidRDefault="000201A7" w:rsidP="000201A7">
      <w:pPr>
        <w:numPr>
          <w:ilvl w:val="1"/>
          <w:numId w:val="40"/>
        </w:numPr>
        <w:spacing w:after="0" w:line="22" w:lineRule="atLeast"/>
        <w:ind w:left="1434" w:hanging="357"/>
        <w:contextualSpacing/>
        <w:jc w:val="both"/>
        <w:rPr>
          <w:rStyle w:val="Hyperlink"/>
          <w:rFonts w:asciiTheme="majorHAnsi" w:hAnsiTheme="majorHAnsi" w:cstheme="majorHAnsi"/>
          <w:sz w:val="24"/>
          <w:szCs w:val="24"/>
        </w:rPr>
      </w:pPr>
      <w:r w:rsidRPr="000201A7">
        <w:rPr>
          <w:rFonts w:asciiTheme="majorHAnsi" w:hAnsiTheme="majorHAnsi" w:cstheme="majorHAnsi"/>
          <w:sz w:val="24"/>
          <w:szCs w:val="24"/>
          <w:lang w:eastAsia="en-AU"/>
        </w:rPr>
        <w:fldChar w:fldCharType="end"/>
      </w:r>
      <w:hyperlink r:id="rId15" w:history="1">
        <w:r w:rsidRPr="000201A7">
          <w:rPr>
            <w:rStyle w:val="Hyperlink"/>
            <w:rFonts w:asciiTheme="majorHAnsi" w:hAnsiTheme="majorHAnsi" w:cstheme="majorHAnsi"/>
            <w:sz w:val="24"/>
            <w:szCs w:val="24"/>
            <w:lang w:eastAsia="en-AU"/>
          </w:rPr>
          <w:t>Section 10 Receivables Management and Cash Handling</w:t>
        </w:r>
      </w:hyperlink>
    </w:p>
    <w:p w14:paraId="1C845610" w14:textId="77777777" w:rsidR="000201A7" w:rsidRPr="000201A7" w:rsidRDefault="000201A7" w:rsidP="000201A7">
      <w:pPr>
        <w:pStyle w:val="ListParagraph"/>
        <w:spacing w:line="22" w:lineRule="atLeast"/>
        <w:jc w:val="both"/>
        <w:rPr>
          <w:rFonts w:asciiTheme="majorHAnsi" w:hAnsiTheme="majorHAnsi" w:cstheme="majorHAnsi"/>
          <w:sz w:val="24"/>
          <w:szCs w:val="24"/>
          <w:u w:val="single"/>
        </w:rPr>
      </w:pPr>
      <w:r w:rsidRPr="000201A7">
        <w:rPr>
          <w:rFonts w:asciiTheme="majorHAnsi" w:hAnsiTheme="majorHAnsi" w:cstheme="majorHAnsi"/>
          <w:color w:val="002060"/>
          <w:sz w:val="24"/>
          <w:szCs w:val="24"/>
          <w:lang w:eastAsia="en-AU"/>
        </w:rPr>
        <w:t xml:space="preserve">Available from: </w:t>
      </w:r>
      <w:hyperlink r:id="rId16" w:history="1">
        <w:r w:rsidRPr="000201A7">
          <w:rPr>
            <w:rStyle w:val="Hyperlink"/>
            <w:rFonts w:asciiTheme="majorHAnsi" w:hAnsiTheme="majorHAnsi" w:cstheme="majorHAnsi"/>
            <w:sz w:val="24"/>
            <w:szCs w:val="24"/>
            <w:lang w:eastAsia="en-AU"/>
          </w:rPr>
          <w:t>Finance Manual — Financial Management for Schools</w:t>
        </w:r>
      </w:hyperlink>
    </w:p>
    <w:p w14:paraId="1BE665C0" w14:textId="77777777" w:rsidR="000201A7" w:rsidRPr="000201A7" w:rsidRDefault="002242D5" w:rsidP="000201A7">
      <w:pPr>
        <w:pStyle w:val="ListParagraph"/>
        <w:numPr>
          <w:ilvl w:val="0"/>
          <w:numId w:val="40"/>
        </w:numPr>
        <w:spacing w:after="160" w:line="22" w:lineRule="atLeast"/>
        <w:jc w:val="both"/>
        <w:rPr>
          <w:rStyle w:val="Hyperlink"/>
          <w:rFonts w:asciiTheme="majorHAnsi" w:hAnsiTheme="majorHAnsi" w:cstheme="majorHAnsi"/>
          <w:sz w:val="24"/>
          <w:szCs w:val="24"/>
        </w:rPr>
      </w:pPr>
      <w:hyperlink r:id="rId17" w:history="1">
        <w:r w:rsidR="000201A7" w:rsidRPr="000201A7">
          <w:rPr>
            <w:rStyle w:val="Hyperlink"/>
            <w:rFonts w:asciiTheme="majorHAnsi" w:hAnsiTheme="majorHAnsi" w:cstheme="majorHAnsi"/>
            <w:sz w:val="24"/>
            <w:szCs w:val="24"/>
            <w:lang w:eastAsia="en-AU"/>
          </w:rPr>
          <w:t>Schools Electronic Funds Management Guidelines</w:t>
        </w:r>
      </w:hyperlink>
    </w:p>
    <w:p w14:paraId="70DA4A98" w14:textId="77777777" w:rsidR="000201A7" w:rsidRPr="000201A7" w:rsidRDefault="000201A7" w:rsidP="000201A7">
      <w:pPr>
        <w:pStyle w:val="ListParagraph"/>
        <w:numPr>
          <w:ilvl w:val="0"/>
          <w:numId w:val="40"/>
        </w:numPr>
        <w:spacing w:after="160" w:line="22" w:lineRule="atLeast"/>
        <w:jc w:val="both"/>
        <w:rPr>
          <w:rFonts w:asciiTheme="majorHAnsi" w:hAnsiTheme="majorHAnsi" w:cstheme="majorHAnsi"/>
          <w:color w:val="002060"/>
          <w:sz w:val="24"/>
          <w:szCs w:val="24"/>
        </w:rPr>
      </w:pPr>
      <w:r w:rsidRPr="000201A7">
        <w:rPr>
          <w:rFonts w:asciiTheme="majorHAnsi" w:hAnsiTheme="majorHAnsi" w:cstheme="majorHAnsi"/>
          <w:color w:val="002060"/>
          <w:sz w:val="24"/>
          <w:szCs w:val="24"/>
        </w:rPr>
        <w:t xml:space="preserve">CASES21 Finance Business Process Guide  </w:t>
      </w:r>
    </w:p>
    <w:p w14:paraId="016C8CE1" w14:textId="77777777" w:rsidR="000201A7" w:rsidRPr="000201A7" w:rsidRDefault="002242D5" w:rsidP="000201A7">
      <w:pPr>
        <w:pStyle w:val="ListParagraph"/>
        <w:numPr>
          <w:ilvl w:val="1"/>
          <w:numId w:val="40"/>
        </w:numPr>
        <w:spacing w:after="160" w:line="22" w:lineRule="atLeast"/>
        <w:jc w:val="both"/>
        <w:rPr>
          <w:rFonts w:asciiTheme="majorHAnsi" w:hAnsiTheme="majorHAnsi" w:cstheme="majorHAnsi"/>
          <w:b/>
          <w:i/>
          <w:sz w:val="24"/>
          <w:szCs w:val="24"/>
          <w:lang w:eastAsia="en-AU"/>
        </w:rPr>
      </w:pPr>
      <w:hyperlink r:id="rId18" w:history="1">
        <w:r w:rsidR="000201A7" w:rsidRPr="000201A7">
          <w:rPr>
            <w:rStyle w:val="Hyperlink"/>
            <w:rFonts w:asciiTheme="majorHAnsi" w:hAnsiTheme="majorHAnsi" w:cstheme="majorHAnsi"/>
            <w:sz w:val="24"/>
            <w:szCs w:val="24"/>
          </w:rPr>
          <w:t>Section 1: Families</w:t>
        </w:r>
      </w:hyperlink>
    </w:p>
    <w:p w14:paraId="3C653754" w14:textId="77777777" w:rsidR="000201A7" w:rsidRPr="000201A7" w:rsidRDefault="002242D5" w:rsidP="000201A7">
      <w:pPr>
        <w:pStyle w:val="ListParagraph"/>
        <w:numPr>
          <w:ilvl w:val="0"/>
          <w:numId w:val="40"/>
        </w:numPr>
        <w:spacing w:after="160" w:line="22" w:lineRule="atLeast"/>
        <w:jc w:val="both"/>
        <w:rPr>
          <w:rStyle w:val="Hyperlink"/>
          <w:rFonts w:asciiTheme="majorHAnsi" w:hAnsiTheme="majorHAnsi" w:cstheme="majorHAnsi"/>
          <w:sz w:val="24"/>
          <w:szCs w:val="24"/>
        </w:rPr>
      </w:pPr>
      <w:hyperlink r:id="rId19" w:history="1">
        <w:r w:rsidR="000201A7" w:rsidRPr="000201A7">
          <w:rPr>
            <w:rStyle w:val="Hyperlink"/>
            <w:rFonts w:asciiTheme="majorHAnsi" w:hAnsiTheme="majorHAnsi" w:cstheme="majorHAnsi"/>
            <w:sz w:val="24"/>
            <w:szCs w:val="24"/>
            <w:lang w:eastAsia="en-AU"/>
          </w:rPr>
          <w:t>Internal Controls for Victorian Government Schools</w:t>
        </w:r>
      </w:hyperlink>
    </w:p>
    <w:p w14:paraId="12087613" w14:textId="77777777" w:rsidR="000201A7" w:rsidRPr="000201A7" w:rsidRDefault="002242D5" w:rsidP="000201A7">
      <w:pPr>
        <w:pStyle w:val="ListParagraph"/>
        <w:numPr>
          <w:ilvl w:val="0"/>
          <w:numId w:val="40"/>
        </w:numPr>
        <w:spacing w:after="160" w:line="22" w:lineRule="atLeast"/>
        <w:jc w:val="both"/>
        <w:rPr>
          <w:rFonts w:asciiTheme="majorHAnsi" w:hAnsiTheme="majorHAnsi" w:cstheme="majorHAnsi"/>
          <w:sz w:val="24"/>
          <w:szCs w:val="24"/>
        </w:rPr>
      </w:pPr>
      <w:hyperlink r:id="rId20" w:history="1">
        <w:r w:rsidR="000201A7" w:rsidRPr="000201A7">
          <w:rPr>
            <w:rStyle w:val="Hyperlink"/>
            <w:rFonts w:asciiTheme="majorHAnsi" w:hAnsiTheme="majorHAnsi" w:cstheme="majorHAnsi"/>
            <w:sz w:val="24"/>
            <w:szCs w:val="24"/>
          </w:rPr>
          <w:t>ICT Security Policy</w:t>
        </w:r>
      </w:hyperlink>
    </w:p>
    <w:p w14:paraId="5B2EBB23" w14:textId="77777777" w:rsidR="000201A7" w:rsidRPr="000201A7" w:rsidRDefault="002242D5" w:rsidP="000201A7">
      <w:pPr>
        <w:pStyle w:val="ListParagraph"/>
        <w:numPr>
          <w:ilvl w:val="0"/>
          <w:numId w:val="40"/>
        </w:numPr>
        <w:spacing w:after="160" w:line="22" w:lineRule="atLeast"/>
        <w:jc w:val="both"/>
        <w:rPr>
          <w:color w:val="0000FF" w:themeColor="hyperlink"/>
          <w:u w:val="single"/>
          <w:lang w:eastAsia="en-AU"/>
        </w:rPr>
      </w:pPr>
      <w:hyperlink r:id="rId21" w:history="1">
        <w:r w:rsidR="000201A7" w:rsidRPr="000201A7">
          <w:rPr>
            <w:rStyle w:val="Hyperlink"/>
            <w:rFonts w:asciiTheme="majorHAnsi" w:hAnsiTheme="majorHAnsi" w:cstheme="majorHAnsi"/>
            <w:sz w:val="24"/>
            <w:szCs w:val="24"/>
            <w:lang w:eastAsia="en-AU"/>
          </w:rPr>
          <w:t>Public Records Office Victoria</w:t>
        </w:r>
      </w:hyperlink>
    </w:p>
    <w:p w14:paraId="33C4CCDA" w14:textId="4E3826A1" w:rsidR="000201A7" w:rsidRPr="000201A7" w:rsidRDefault="000201A7" w:rsidP="000201A7">
      <w:pPr>
        <w:pStyle w:val="ListParagraph"/>
        <w:numPr>
          <w:ilvl w:val="0"/>
          <w:numId w:val="40"/>
        </w:numPr>
        <w:spacing w:after="160" w:line="22" w:lineRule="atLeast"/>
        <w:jc w:val="both"/>
        <w:rPr>
          <w:rStyle w:val="Hyperlink"/>
          <w:rFonts w:asciiTheme="majorHAnsi" w:hAnsiTheme="majorHAnsi" w:cstheme="majorHAnsi"/>
          <w:sz w:val="24"/>
          <w:szCs w:val="24"/>
          <w:lang w:eastAsia="en-AU"/>
        </w:rPr>
      </w:pPr>
      <w:r w:rsidRPr="000201A7">
        <w:rPr>
          <w:rFonts w:asciiTheme="majorHAnsi" w:hAnsiTheme="majorHAnsi" w:cstheme="majorHAnsi"/>
          <w:sz w:val="24"/>
          <w:szCs w:val="24"/>
          <w:lang w:eastAsia="en-AU"/>
        </w:rPr>
        <w:fldChar w:fldCharType="begin"/>
      </w:r>
      <w:r w:rsidRPr="000201A7">
        <w:rPr>
          <w:rFonts w:asciiTheme="majorHAnsi" w:hAnsiTheme="majorHAnsi" w:cstheme="majorHAnsi"/>
          <w:sz w:val="24"/>
          <w:szCs w:val="24"/>
          <w:lang w:eastAsia="en-AU"/>
        </w:rPr>
        <w:instrText xml:space="preserve"> HYPERLINK "https://www2.education.vic.gov.au/pal/records-management/policy" </w:instrText>
      </w:r>
      <w:r w:rsidRPr="000201A7">
        <w:rPr>
          <w:rFonts w:asciiTheme="majorHAnsi" w:hAnsiTheme="majorHAnsi" w:cstheme="majorHAnsi"/>
          <w:sz w:val="24"/>
          <w:szCs w:val="24"/>
          <w:lang w:eastAsia="en-AU"/>
        </w:rPr>
      </w:r>
      <w:r w:rsidRPr="000201A7">
        <w:rPr>
          <w:rFonts w:asciiTheme="majorHAnsi" w:hAnsiTheme="majorHAnsi" w:cstheme="majorHAnsi"/>
          <w:sz w:val="24"/>
          <w:szCs w:val="24"/>
          <w:lang w:eastAsia="en-AU"/>
        </w:rPr>
        <w:fldChar w:fldCharType="separate"/>
      </w:r>
      <w:r w:rsidRPr="000201A7">
        <w:rPr>
          <w:rStyle w:val="Hyperlink"/>
          <w:rFonts w:asciiTheme="majorHAnsi" w:hAnsiTheme="majorHAnsi" w:cstheme="majorHAnsi"/>
          <w:sz w:val="24"/>
          <w:szCs w:val="24"/>
          <w:lang w:eastAsia="en-AU"/>
        </w:rPr>
        <w:t>Records Management — School Records</w:t>
      </w:r>
    </w:p>
    <w:p w14:paraId="5921F924" w14:textId="77777777" w:rsidR="000201A7" w:rsidRDefault="000201A7" w:rsidP="000201A7">
      <w:pPr>
        <w:rPr>
          <w:lang w:eastAsia="en-AU"/>
        </w:rPr>
      </w:pPr>
      <w:r w:rsidRPr="000201A7">
        <w:rPr>
          <w:lang w:eastAsia="en-AU"/>
        </w:rPr>
        <w:fldChar w:fldCharType="end"/>
      </w:r>
    </w:p>
    <w:p w14:paraId="6B9446BE" w14:textId="270A81CA" w:rsidR="00936CAF" w:rsidRPr="00EE67E5" w:rsidRDefault="00936CAF" w:rsidP="000201A7">
      <w:pPr>
        <w:rPr>
          <w:rFonts w:asciiTheme="majorHAnsi" w:eastAsiaTheme="majorEastAsia" w:hAnsiTheme="majorHAnsi" w:cstheme="majorHAnsi"/>
          <w:b/>
          <w:caps/>
          <w:color w:val="002060"/>
          <w:sz w:val="24"/>
          <w:szCs w:val="24"/>
        </w:rPr>
      </w:pPr>
      <w:r w:rsidRPr="00EE67E5">
        <w:rPr>
          <w:rFonts w:asciiTheme="majorHAnsi" w:eastAsiaTheme="majorEastAsia" w:hAnsiTheme="majorHAnsi" w:cstheme="majorHAnsi"/>
          <w:b/>
          <w:caps/>
          <w:color w:val="002060"/>
          <w:sz w:val="24"/>
          <w:szCs w:val="24"/>
        </w:rPr>
        <w:t xml:space="preserve">Review Cycle </w:t>
      </w: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0201A7" w:rsidRPr="000201A7" w14:paraId="280A0763" w14:textId="77777777" w:rsidTr="00463EF6">
        <w:tc>
          <w:tcPr>
            <w:tcW w:w="2925" w:type="dxa"/>
            <w:shd w:val="clear" w:color="auto" w:fill="auto"/>
            <w:hideMark/>
          </w:tcPr>
          <w:p w14:paraId="7131D7BC" w14:textId="77777777" w:rsidR="000201A7" w:rsidRPr="000201A7" w:rsidRDefault="000201A7" w:rsidP="00463EF6">
            <w:pPr>
              <w:spacing w:after="0" w:line="240" w:lineRule="auto"/>
              <w:textAlignment w:val="baseline"/>
              <w:rPr>
                <w:rFonts w:asciiTheme="majorHAnsi" w:eastAsia="Times New Roman" w:hAnsiTheme="majorHAnsi" w:cstheme="majorHAnsi"/>
                <w:color w:val="002060"/>
                <w:sz w:val="24"/>
                <w:szCs w:val="24"/>
                <w:lang w:eastAsia="en-AU"/>
              </w:rPr>
            </w:pPr>
            <w:r w:rsidRPr="000201A7">
              <w:rPr>
                <w:rFonts w:asciiTheme="majorHAnsi" w:eastAsia="Times New Roman" w:hAnsiTheme="majorHAnsi" w:cstheme="majorHAnsi"/>
                <w:color w:val="002060"/>
                <w:sz w:val="24"/>
                <w:szCs w:val="24"/>
                <w:lang w:eastAsia="en-AU"/>
              </w:rPr>
              <w:t>Policy last reviewed </w:t>
            </w:r>
          </w:p>
        </w:tc>
        <w:tc>
          <w:tcPr>
            <w:tcW w:w="6075" w:type="dxa"/>
            <w:shd w:val="clear" w:color="auto" w:fill="auto"/>
            <w:hideMark/>
          </w:tcPr>
          <w:p w14:paraId="202E373E" w14:textId="108FFD88" w:rsidR="000201A7" w:rsidRPr="000201A7" w:rsidRDefault="000201A7" w:rsidP="00463EF6">
            <w:pPr>
              <w:spacing w:after="0" w:line="240" w:lineRule="auto"/>
              <w:textAlignment w:val="baseline"/>
              <w:rPr>
                <w:rFonts w:asciiTheme="majorHAnsi" w:eastAsia="Times New Roman" w:hAnsiTheme="majorHAnsi" w:cstheme="majorHAnsi"/>
                <w:color w:val="002060"/>
                <w:sz w:val="24"/>
                <w:szCs w:val="24"/>
                <w:lang w:eastAsia="en-AU"/>
              </w:rPr>
            </w:pPr>
            <w:r>
              <w:rPr>
                <w:rFonts w:asciiTheme="majorHAnsi" w:eastAsia="Times New Roman" w:hAnsiTheme="majorHAnsi" w:cstheme="majorHAnsi"/>
                <w:color w:val="002060"/>
                <w:sz w:val="24"/>
                <w:szCs w:val="24"/>
                <w:lang w:eastAsia="en-AU"/>
              </w:rPr>
              <w:t>5</w:t>
            </w:r>
            <w:r w:rsidRPr="000201A7">
              <w:rPr>
                <w:rFonts w:asciiTheme="majorHAnsi" w:eastAsia="Times New Roman" w:hAnsiTheme="majorHAnsi" w:cstheme="majorHAnsi"/>
                <w:color w:val="002060"/>
                <w:sz w:val="24"/>
                <w:szCs w:val="24"/>
                <w:vertAlign w:val="superscript"/>
                <w:lang w:eastAsia="en-AU"/>
              </w:rPr>
              <w:t>th</w:t>
            </w:r>
            <w:r>
              <w:rPr>
                <w:rFonts w:asciiTheme="majorHAnsi" w:eastAsia="Times New Roman" w:hAnsiTheme="majorHAnsi" w:cstheme="majorHAnsi"/>
                <w:color w:val="002060"/>
                <w:sz w:val="24"/>
                <w:szCs w:val="24"/>
                <w:lang w:eastAsia="en-AU"/>
              </w:rPr>
              <w:t xml:space="preserve"> April 2023</w:t>
            </w:r>
          </w:p>
        </w:tc>
      </w:tr>
      <w:tr w:rsidR="000201A7" w:rsidRPr="000201A7" w14:paraId="1D233F89" w14:textId="77777777" w:rsidTr="00463EF6">
        <w:tc>
          <w:tcPr>
            <w:tcW w:w="2925" w:type="dxa"/>
            <w:shd w:val="clear" w:color="auto" w:fill="auto"/>
            <w:hideMark/>
          </w:tcPr>
          <w:p w14:paraId="23CA2DD8" w14:textId="77777777" w:rsidR="000201A7" w:rsidRPr="000201A7" w:rsidRDefault="000201A7" w:rsidP="00463EF6">
            <w:pPr>
              <w:spacing w:after="0" w:line="240" w:lineRule="auto"/>
              <w:textAlignment w:val="baseline"/>
              <w:rPr>
                <w:rFonts w:asciiTheme="majorHAnsi" w:eastAsia="Times New Roman" w:hAnsiTheme="majorHAnsi" w:cstheme="majorHAnsi"/>
                <w:color w:val="002060"/>
                <w:sz w:val="24"/>
                <w:szCs w:val="24"/>
                <w:lang w:eastAsia="en-AU"/>
              </w:rPr>
            </w:pPr>
            <w:r w:rsidRPr="000201A7">
              <w:rPr>
                <w:rFonts w:asciiTheme="majorHAnsi" w:eastAsia="Times New Roman" w:hAnsiTheme="majorHAnsi" w:cstheme="majorHAnsi"/>
                <w:color w:val="002060"/>
                <w:sz w:val="24"/>
                <w:szCs w:val="24"/>
                <w:lang w:eastAsia="en-AU"/>
              </w:rPr>
              <w:t>Approved by </w:t>
            </w:r>
          </w:p>
        </w:tc>
        <w:tc>
          <w:tcPr>
            <w:tcW w:w="6075" w:type="dxa"/>
            <w:shd w:val="clear" w:color="auto" w:fill="auto"/>
            <w:hideMark/>
          </w:tcPr>
          <w:p w14:paraId="1E4D78E2" w14:textId="77777777" w:rsidR="000201A7" w:rsidRPr="000201A7" w:rsidRDefault="000201A7" w:rsidP="00463EF6">
            <w:pPr>
              <w:spacing w:after="0" w:line="240" w:lineRule="auto"/>
              <w:textAlignment w:val="baseline"/>
              <w:rPr>
                <w:rFonts w:asciiTheme="majorHAnsi" w:eastAsia="Times New Roman" w:hAnsiTheme="majorHAnsi" w:cstheme="majorHAnsi"/>
                <w:color w:val="002060"/>
                <w:sz w:val="24"/>
                <w:szCs w:val="24"/>
                <w:lang w:eastAsia="en-AU"/>
              </w:rPr>
            </w:pPr>
            <w:r w:rsidRPr="000201A7">
              <w:rPr>
                <w:rFonts w:asciiTheme="majorHAnsi" w:eastAsia="Times New Roman" w:hAnsiTheme="majorHAnsi" w:cstheme="majorHAnsi"/>
                <w:color w:val="002060"/>
                <w:sz w:val="24"/>
                <w:szCs w:val="24"/>
                <w:lang w:eastAsia="en-AU"/>
              </w:rPr>
              <w:t xml:space="preserve">School Council </w:t>
            </w:r>
          </w:p>
        </w:tc>
      </w:tr>
      <w:tr w:rsidR="000201A7" w:rsidRPr="000201A7" w14:paraId="5BAC770D" w14:textId="77777777" w:rsidTr="00463EF6">
        <w:tc>
          <w:tcPr>
            <w:tcW w:w="2925" w:type="dxa"/>
            <w:shd w:val="clear" w:color="auto" w:fill="auto"/>
            <w:hideMark/>
          </w:tcPr>
          <w:p w14:paraId="6C491E8B" w14:textId="77777777" w:rsidR="000201A7" w:rsidRPr="000201A7" w:rsidRDefault="000201A7" w:rsidP="00463EF6">
            <w:pPr>
              <w:spacing w:after="0" w:line="240" w:lineRule="auto"/>
              <w:textAlignment w:val="baseline"/>
              <w:rPr>
                <w:rFonts w:asciiTheme="majorHAnsi" w:eastAsia="Times New Roman" w:hAnsiTheme="majorHAnsi" w:cstheme="majorHAnsi"/>
                <w:color w:val="002060"/>
                <w:sz w:val="24"/>
                <w:szCs w:val="24"/>
                <w:lang w:eastAsia="en-AU"/>
              </w:rPr>
            </w:pPr>
            <w:r w:rsidRPr="000201A7">
              <w:rPr>
                <w:rFonts w:asciiTheme="majorHAnsi" w:eastAsia="Times New Roman" w:hAnsiTheme="majorHAnsi" w:cstheme="majorHAnsi"/>
                <w:color w:val="002060"/>
                <w:sz w:val="24"/>
                <w:szCs w:val="24"/>
                <w:lang w:eastAsia="en-AU"/>
              </w:rPr>
              <w:t>Next scheduled review date </w:t>
            </w:r>
          </w:p>
        </w:tc>
        <w:tc>
          <w:tcPr>
            <w:tcW w:w="6075" w:type="dxa"/>
            <w:shd w:val="clear" w:color="auto" w:fill="auto"/>
            <w:hideMark/>
          </w:tcPr>
          <w:p w14:paraId="4C25A80A" w14:textId="62EB42FD" w:rsidR="000201A7" w:rsidRPr="000201A7" w:rsidRDefault="000201A7" w:rsidP="00463EF6">
            <w:pPr>
              <w:spacing w:after="0" w:line="240" w:lineRule="auto"/>
              <w:textAlignment w:val="baseline"/>
              <w:rPr>
                <w:rFonts w:asciiTheme="majorHAnsi" w:eastAsia="Times New Roman" w:hAnsiTheme="majorHAnsi" w:cstheme="majorHAnsi"/>
                <w:color w:val="002060"/>
                <w:sz w:val="24"/>
                <w:szCs w:val="24"/>
                <w:lang w:eastAsia="en-AU"/>
              </w:rPr>
            </w:pPr>
            <w:r>
              <w:rPr>
                <w:rFonts w:asciiTheme="majorHAnsi" w:eastAsia="Times New Roman" w:hAnsiTheme="majorHAnsi" w:cstheme="majorHAnsi"/>
                <w:color w:val="002060"/>
                <w:sz w:val="24"/>
                <w:szCs w:val="24"/>
                <w:lang w:eastAsia="en-AU"/>
              </w:rPr>
              <w:t>5</w:t>
            </w:r>
            <w:r w:rsidRPr="000201A7">
              <w:rPr>
                <w:rFonts w:asciiTheme="majorHAnsi" w:eastAsia="Times New Roman" w:hAnsiTheme="majorHAnsi" w:cstheme="majorHAnsi"/>
                <w:color w:val="002060"/>
                <w:sz w:val="24"/>
                <w:szCs w:val="24"/>
                <w:vertAlign w:val="superscript"/>
                <w:lang w:eastAsia="en-AU"/>
              </w:rPr>
              <w:t>th</w:t>
            </w:r>
            <w:r>
              <w:rPr>
                <w:rFonts w:asciiTheme="majorHAnsi" w:eastAsia="Times New Roman" w:hAnsiTheme="majorHAnsi" w:cstheme="majorHAnsi"/>
                <w:color w:val="002060"/>
                <w:sz w:val="24"/>
                <w:szCs w:val="24"/>
                <w:lang w:eastAsia="en-AU"/>
              </w:rPr>
              <w:t xml:space="preserve"> April 2024</w:t>
            </w:r>
          </w:p>
        </w:tc>
      </w:tr>
    </w:tbl>
    <w:p w14:paraId="477659C4" w14:textId="77777777" w:rsidR="0060657A" w:rsidRPr="0060657A" w:rsidRDefault="0060657A" w:rsidP="0060657A">
      <w:pPr>
        <w:spacing w:after="0" w:line="24" w:lineRule="atLeast"/>
        <w:rPr>
          <w:rFonts w:asciiTheme="majorHAnsi" w:hAnsiTheme="majorHAnsi" w:cstheme="majorHAnsi"/>
        </w:rPr>
      </w:pPr>
    </w:p>
    <w:sectPr w:rsidR="0060657A" w:rsidRPr="0060657A" w:rsidSect="00833D83">
      <w:headerReference w:type="default" r:id="rId22"/>
      <w:pgSz w:w="11900" w:h="16840"/>
      <w:pgMar w:top="284" w:right="1191" w:bottom="709" w:left="1304" w:header="624" w:footer="1134" w:gutter="0"/>
      <w:pgBorders w:offsetFrom="page">
        <w:top w:val="single" w:sz="12" w:space="24" w:color="002060"/>
        <w:left w:val="single" w:sz="12" w:space="24" w:color="002060"/>
        <w:bottom w:val="single" w:sz="12" w:space="24" w:color="002060"/>
        <w:right w:val="single" w:sz="12" w:space="24" w:color="002060"/>
      </w:pgBorders>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4051" w14:textId="77777777" w:rsidR="00145DFF" w:rsidRDefault="00145DFF" w:rsidP="008766A4">
      <w:r>
        <w:separator/>
      </w:r>
    </w:p>
  </w:endnote>
  <w:endnote w:type="continuationSeparator" w:id="0">
    <w:p w14:paraId="546B74F2" w14:textId="77777777" w:rsidR="00145DFF" w:rsidRDefault="00145DFF"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5A6B" w14:textId="77777777" w:rsidR="00145DFF" w:rsidRDefault="00145DFF" w:rsidP="008766A4">
      <w:r>
        <w:separator/>
      </w:r>
    </w:p>
  </w:footnote>
  <w:footnote w:type="continuationSeparator" w:id="0">
    <w:p w14:paraId="5612BED2" w14:textId="77777777" w:rsidR="00145DFF" w:rsidRDefault="00145DFF"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5A52" w14:textId="66A882DC" w:rsidR="007F6314" w:rsidRPr="003E29B5" w:rsidRDefault="007F6314" w:rsidP="008766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632D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E6EC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23C92C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91E90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B063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026C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9C2D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388EB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09C95F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0B638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CB830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3364CA"/>
    <w:multiLevelType w:val="hybridMultilevel"/>
    <w:tmpl w:val="ED8CAAE6"/>
    <w:lvl w:ilvl="0" w:tplc="DD1864A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F555F2D"/>
    <w:multiLevelType w:val="hybridMultilevel"/>
    <w:tmpl w:val="7BF84D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4745C7"/>
    <w:multiLevelType w:val="hybridMultilevel"/>
    <w:tmpl w:val="5B8430F4"/>
    <w:lvl w:ilvl="0" w:tplc="4DB0D3F0">
      <w:start w:val="1"/>
      <w:numFmt w:val="bullet"/>
      <w:lvlText w:val="•"/>
      <w:lvlJc w:val="left"/>
      <w:pPr>
        <w:tabs>
          <w:tab w:val="num" w:pos="720"/>
        </w:tabs>
        <w:ind w:left="720" w:hanging="360"/>
      </w:pPr>
      <w:rPr>
        <w:rFonts w:ascii="Times New Roman" w:hAnsi="Times New Roman" w:hint="default"/>
      </w:rPr>
    </w:lvl>
    <w:lvl w:ilvl="1" w:tplc="2F8EB796" w:tentative="1">
      <w:start w:val="1"/>
      <w:numFmt w:val="bullet"/>
      <w:lvlText w:val="•"/>
      <w:lvlJc w:val="left"/>
      <w:pPr>
        <w:tabs>
          <w:tab w:val="num" w:pos="1440"/>
        </w:tabs>
        <w:ind w:left="1440" w:hanging="360"/>
      </w:pPr>
      <w:rPr>
        <w:rFonts w:ascii="Times New Roman" w:hAnsi="Times New Roman" w:hint="default"/>
      </w:rPr>
    </w:lvl>
    <w:lvl w:ilvl="2" w:tplc="67DA87E0" w:tentative="1">
      <w:start w:val="1"/>
      <w:numFmt w:val="bullet"/>
      <w:lvlText w:val="•"/>
      <w:lvlJc w:val="left"/>
      <w:pPr>
        <w:tabs>
          <w:tab w:val="num" w:pos="2160"/>
        </w:tabs>
        <w:ind w:left="2160" w:hanging="360"/>
      </w:pPr>
      <w:rPr>
        <w:rFonts w:ascii="Times New Roman" w:hAnsi="Times New Roman" w:hint="default"/>
      </w:rPr>
    </w:lvl>
    <w:lvl w:ilvl="3" w:tplc="FC5603C6" w:tentative="1">
      <w:start w:val="1"/>
      <w:numFmt w:val="bullet"/>
      <w:lvlText w:val="•"/>
      <w:lvlJc w:val="left"/>
      <w:pPr>
        <w:tabs>
          <w:tab w:val="num" w:pos="2880"/>
        </w:tabs>
        <w:ind w:left="2880" w:hanging="360"/>
      </w:pPr>
      <w:rPr>
        <w:rFonts w:ascii="Times New Roman" w:hAnsi="Times New Roman" w:hint="default"/>
      </w:rPr>
    </w:lvl>
    <w:lvl w:ilvl="4" w:tplc="0ABAF99E" w:tentative="1">
      <w:start w:val="1"/>
      <w:numFmt w:val="bullet"/>
      <w:lvlText w:val="•"/>
      <w:lvlJc w:val="left"/>
      <w:pPr>
        <w:tabs>
          <w:tab w:val="num" w:pos="3600"/>
        </w:tabs>
        <w:ind w:left="3600" w:hanging="360"/>
      </w:pPr>
      <w:rPr>
        <w:rFonts w:ascii="Times New Roman" w:hAnsi="Times New Roman" w:hint="default"/>
      </w:rPr>
    </w:lvl>
    <w:lvl w:ilvl="5" w:tplc="A5367660" w:tentative="1">
      <w:start w:val="1"/>
      <w:numFmt w:val="bullet"/>
      <w:lvlText w:val="•"/>
      <w:lvlJc w:val="left"/>
      <w:pPr>
        <w:tabs>
          <w:tab w:val="num" w:pos="4320"/>
        </w:tabs>
        <w:ind w:left="4320" w:hanging="360"/>
      </w:pPr>
      <w:rPr>
        <w:rFonts w:ascii="Times New Roman" w:hAnsi="Times New Roman" w:hint="default"/>
      </w:rPr>
    </w:lvl>
    <w:lvl w:ilvl="6" w:tplc="D77C2F1E" w:tentative="1">
      <w:start w:val="1"/>
      <w:numFmt w:val="bullet"/>
      <w:lvlText w:val="•"/>
      <w:lvlJc w:val="left"/>
      <w:pPr>
        <w:tabs>
          <w:tab w:val="num" w:pos="5040"/>
        </w:tabs>
        <w:ind w:left="5040" w:hanging="360"/>
      </w:pPr>
      <w:rPr>
        <w:rFonts w:ascii="Times New Roman" w:hAnsi="Times New Roman" w:hint="default"/>
      </w:rPr>
    </w:lvl>
    <w:lvl w:ilvl="7" w:tplc="0B38C400" w:tentative="1">
      <w:start w:val="1"/>
      <w:numFmt w:val="bullet"/>
      <w:lvlText w:val="•"/>
      <w:lvlJc w:val="left"/>
      <w:pPr>
        <w:tabs>
          <w:tab w:val="num" w:pos="5760"/>
        </w:tabs>
        <w:ind w:left="5760" w:hanging="360"/>
      </w:pPr>
      <w:rPr>
        <w:rFonts w:ascii="Times New Roman" w:hAnsi="Times New Roman" w:hint="default"/>
      </w:rPr>
    </w:lvl>
    <w:lvl w:ilvl="8" w:tplc="B25A9F3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44D144A"/>
    <w:multiLevelType w:val="hybridMultilevel"/>
    <w:tmpl w:val="05669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E069DE"/>
    <w:multiLevelType w:val="hybridMultilevel"/>
    <w:tmpl w:val="4DCA8F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846718"/>
    <w:multiLevelType w:val="hybridMultilevel"/>
    <w:tmpl w:val="BB5099DA"/>
    <w:lvl w:ilvl="0" w:tplc="CFC07EF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511159"/>
    <w:multiLevelType w:val="multilevel"/>
    <w:tmpl w:val="7298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E244D1"/>
    <w:multiLevelType w:val="hybridMultilevel"/>
    <w:tmpl w:val="AFD2A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8E7867"/>
    <w:multiLevelType w:val="hybridMultilevel"/>
    <w:tmpl w:val="A3C2E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3C2DAB"/>
    <w:multiLevelType w:val="hybridMultilevel"/>
    <w:tmpl w:val="61BCCC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506707B"/>
    <w:multiLevelType w:val="hybridMultilevel"/>
    <w:tmpl w:val="EA7E8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375944"/>
    <w:multiLevelType w:val="hybridMultilevel"/>
    <w:tmpl w:val="7B76BE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EF5940"/>
    <w:multiLevelType w:val="hybridMultilevel"/>
    <w:tmpl w:val="4AB8EC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C15936"/>
    <w:multiLevelType w:val="hybridMultilevel"/>
    <w:tmpl w:val="DED8BDCA"/>
    <w:lvl w:ilvl="0" w:tplc="0C090005">
      <w:start w:val="1"/>
      <w:numFmt w:val="bullet"/>
      <w:lvlText w:val=""/>
      <w:lvlJc w:val="left"/>
      <w:pPr>
        <w:ind w:left="720" w:hanging="360"/>
      </w:pPr>
      <w:rPr>
        <w:rFonts w:ascii="Wingdings" w:hAnsi="Wingdings" w:hint="default"/>
      </w:rPr>
    </w:lvl>
    <w:lvl w:ilvl="1" w:tplc="ABD817BE">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C4459A"/>
    <w:multiLevelType w:val="multilevel"/>
    <w:tmpl w:val="EBEA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451664"/>
    <w:multiLevelType w:val="hybridMultilevel"/>
    <w:tmpl w:val="5254C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7E40A3"/>
    <w:multiLevelType w:val="hybridMultilevel"/>
    <w:tmpl w:val="D668E5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471230"/>
    <w:multiLevelType w:val="hybridMultilevel"/>
    <w:tmpl w:val="9BA0E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750C2F"/>
    <w:multiLevelType w:val="hybridMultilevel"/>
    <w:tmpl w:val="23968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E40AAC"/>
    <w:multiLevelType w:val="hybridMultilevel"/>
    <w:tmpl w:val="58B0B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081BA3"/>
    <w:multiLevelType w:val="hybridMultilevel"/>
    <w:tmpl w:val="C91A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16726E"/>
    <w:multiLevelType w:val="hybridMultilevel"/>
    <w:tmpl w:val="13CA71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B2565A"/>
    <w:multiLevelType w:val="multilevel"/>
    <w:tmpl w:val="F6A0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DD3BDC"/>
    <w:multiLevelType w:val="hybridMultilevel"/>
    <w:tmpl w:val="6504C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E54544"/>
    <w:multiLevelType w:val="hybridMultilevel"/>
    <w:tmpl w:val="ED7A095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1A0420"/>
    <w:multiLevelType w:val="multilevel"/>
    <w:tmpl w:val="C040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DE4933"/>
    <w:multiLevelType w:val="hybridMultilevel"/>
    <w:tmpl w:val="F0EC4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1A0BAC"/>
    <w:multiLevelType w:val="hybridMultilevel"/>
    <w:tmpl w:val="08CE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134AEC"/>
    <w:multiLevelType w:val="hybridMultilevel"/>
    <w:tmpl w:val="01B26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043997"/>
    <w:multiLevelType w:val="multilevel"/>
    <w:tmpl w:val="43E0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F0114E"/>
    <w:multiLevelType w:val="multilevel"/>
    <w:tmpl w:val="FD02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7D22B1"/>
    <w:multiLevelType w:val="hybridMultilevel"/>
    <w:tmpl w:val="CEB6CF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9B7C71"/>
    <w:multiLevelType w:val="hybridMultilevel"/>
    <w:tmpl w:val="A6128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55433F"/>
    <w:multiLevelType w:val="hybridMultilevel"/>
    <w:tmpl w:val="175EC9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C63C58"/>
    <w:multiLevelType w:val="multilevel"/>
    <w:tmpl w:val="7AC2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5482274">
    <w:abstractNumId w:val="10"/>
  </w:num>
  <w:num w:numId="2" w16cid:durableId="1097019447">
    <w:abstractNumId w:val="8"/>
  </w:num>
  <w:num w:numId="3" w16cid:durableId="815343477">
    <w:abstractNumId w:val="7"/>
  </w:num>
  <w:num w:numId="4" w16cid:durableId="1993947839">
    <w:abstractNumId w:val="6"/>
  </w:num>
  <w:num w:numId="5" w16cid:durableId="1982149514">
    <w:abstractNumId w:val="5"/>
  </w:num>
  <w:num w:numId="6" w16cid:durableId="973828645">
    <w:abstractNumId w:val="9"/>
  </w:num>
  <w:num w:numId="7" w16cid:durableId="2097284488">
    <w:abstractNumId w:val="4"/>
  </w:num>
  <w:num w:numId="8" w16cid:durableId="1743867251">
    <w:abstractNumId w:val="3"/>
  </w:num>
  <w:num w:numId="9" w16cid:durableId="882253106">
    <w:abstractNumId w:val="2"/>
  </w:num>
  <w:num w:numId="10" w16cid:durableId="586109786">
    <w:abstractNumId w:val="1"/>
  </w:num>
  <w:num w:numId="11" w16cid:durableId="1819372605">
    <w:abstractNumId w:val="0"/>
  </w:num>
  <w:num w:numId="12" w16cid:durableId="2104377326">
    <w:abstractNumId w:val="35"/>
  </w:num>
  <w:num w:numId="13" w16cid:durableId="2045788268">
    <w:abstractNumId w:val="24"/>
  </w:num>
  <w:num w:numId="14" w16cid:durableId="87701655">
    <w:abstractNumId w:val="22"/>
  </w:num>
  <w:num w:numId="15" w16cid:durableId="798842807">
    <w:abstractNumId w:val="12"/>
  </w:num>
  <w:num w:numId="16" w16cid:durableId="1183401844">
    <w:abstractNumId w:val="15"/>
  </w:num>
  <w:num w:numId="17" w16cid:durableId="1448507163">
    <w:abstractNumId w:val="23"/>
  </w:num>
  <w:num w:numId="18" w16cid:durableId="1068653694">
    <w:abstractNumId w:val="26"/>
  </w:num>
  <w:num w:numId="19" w16cid:durableId="1668943639">
    <w:abstractNumId w:val="30"/>
  </w:num>
  <w:num w:numId="20" w16cid:durableId="667709775">
    <w:abstractNumId w:val="13"/>
  </w:num>
  <w:num w:numId="21" w16cid:durableId="776220793">
    <w:abstractNumId w:val="39"/>
  </w:num>
  <w:num w:numId="22" w16cid:durableId="1149322961">
    <w:abstractNumId w:val="18"/>
  </w:num>
  <w:num w:numId="23" w16cid:durableId="1351030807">
    <w:abstractNumId w:val="41"/>
  </w:num>
  <w:num w:numId="24" w16cid:durableId="471361797">
    <w:abstractNumId w:val="25"/>
  </w:num>
  <w:num w:numId="25" w16cid:durableId="332340772">
    <w:abstractNumId w:val="33"/>
  </w:num>
  <w:num w:numId="26" w16cid:durableId="246155057">
    <w:abstractNumId w:val="45"/>
  </w:num>
  <w:num w:numId="27" w16cid:durableId="1255168981">
    <w:abstractNumId w:val="36"/>
  </w:num>
  <w:num w:numId="28" w16cid:durableId="576287707">
    <w:abstractNumId w:val="40"/>
  </w:num>
  <w:num w:numId="29" w16cid:durableId="1547133147">
    <w:abstractNumId w:val="16"/>
  </w:num>
  <w:num w:numId="30" w16cid:durableId="1321226947">
    <w:abstractNumId w:val="17"/>
  </w:num>
  <w:num w:numId="31" w16cid:durableId="1400905911">
    <w:abstractNumId w:val="37"/>
  </w:num>
  <w:num w:numId="32" w16cid:durableId="1222406778">
    <w:abstractNumId w:val="31"/>
  </w:num>
  <w:num w:numId="33" w16cid:durableId="865211876">
    <w:abstractNumId w:val="21"/>
  </w:num>
  <w:num w:numId="34" w16cid:durableId="291638484">
    <w:abstractNumId w:val="43"/>
  </w:num>
  <w:num w:numId="35" w16cid:durableId="639961287">
    <w:abstractNumId w:val="19"/>
  </w:num>
  <w:num w:numId="36" w16cid:durableId="1949042620">
    <w:abstractNumId w:val="20"/>
  </w:num>
  <w:num w:numId="37" w16cid:durableId="1575894105">
    <w:abstractNumId w:val="28"/>
  </w:num>
  <w:num w:numId="38" w16cid:durableId="597637433">
    <w:abstractNumId w:val="32"/>
  </w:num>
  <w:num w:numId="39" w16cid:durableId="1955481103">
    <w:abstractNumId w:val="27"/>
  </w:num>
  <w:num w:numId="40" w16cid:durableId="1916668252">
    <w:abstractNumId w:val="11"/>
  </w:num>
  <w:num w:numId="41" w16cid:durableId="879365995">
    <w:abstractNumId w:val="38"/>
  </w:num>
  <w:num w:numId="42" w16cid:durableId="1687949022">
    <w:abstractNumId w:val="14"/>
  </w:num>
  <w:num w:numId="43" w16cid:durableId="703595527">
    <w:abstractNumId w:val="29"/>
  </w:num>
  <w:num w:numId="44" w16cid:durableId="1577857411">
    <w:abstractNumId w:val="42"/>
  </w:num>
  <w:num w:numId="45" w16cid:durableId="1176575445">
    <w:abstractNumId w:val="44"/>
  </w:num>
  <w:num w:numId="46" w16cid:durableId="20887833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48"/>
    <w:rsid w:val="000201A7"/>
    <w:rsid w:val="00035CC5"/>
    <w:rsid w:val="00090D79"/>
    <w:rsid w:val="000A57EA"/>
    <w:rsid w:val="000E172B"/>
    <w:rsid w:val="0014310A"/>
    <w:rsid w:val="00145DFF"/>
    <w:rsid w:val="00223D2C"/>
    <w:rsid w:val="002242D5"/>
    <w:rsid w:val="00256B07"/>
    <w:rsid w:val="0026703C"/>
    <w:rsid w:val="00302AC2"/>
    <w:rsid w:val="00323F47"/>
    <w:rsid w:val="00326F48"/>
    <w:rsid w:val="003621E1"/>
    <w:rsid w:val="003B01B0"/>
    <w:rsid w:val="003B151C"/>
    <w:rsid w:val="003B247A"/>
    <w:rsid w:val="003E29B5"/>
    <w:rsid w:val="0049484C"/>
    <w:rsid w:val="004C06C0"/>
    <w:rsid w:val="00585614"/>
    <w:rsid w:val="00596923"/>
    <w:rsid w:val="0060657A"/>
    <w:rsid w:val="00623947"/>
    <w:rsid w:val="00650305"/>
    <w:rsid w:val="006A35F0"/>
    <w:rsid w:val="006C2ACC"/>
    <w:rsid w:val="00726FCF"/>
    <w:rsid w:val="00757AAC"/>
    <w:rsid w:val="00761353"/>
    <w:rsid w:val="007B5477"/>
    <w:rsid w:val="007F6314"/>
    <w:rsid w:val="00816ED5"/>
    <w:rsid w:val="00833D83"/>
    <w:rsid w:val="0086619E"/>
    <w:rsid w:val="008766A4"/>
    <w:rsid w:val="00890229"/>
    <w:rsid w:val="008C4482"/>
    <w:rsid w:val="008E6E84"/>
    <w:rsid w:val="00936CAF"/>
    <w:rsid w:val="00980015"/>
    <w:rsid w:val="009F2302"/>
    <w:rsid w:val="00A21F45"/>
    <w:rsid w:val="00A54561"/>
    <w:rsid w:val="00B70F0B"/>
    <w:rsid w:val="00B800B3"/>
    <w:rsid w:val="00BB4F5E"/>
    <w:rsid w:val="00CC47F5"/>
    <w:rsid w:val="00D07699"/>
    <w:rsid w:val="00D31299"/>
    <w:rsid w:val="00D81352"/>
    <w:rsid w:val="00E32305"/>
    <w:rsid w:val="00E91993"/>
    <w:rsid w:val="00EA7623"/>
    <w:rsid w:val="00EB2324"/>
    <w:rsid w:val="00EB262A"/>
    <w:rsid w:val="00EE6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9FCCD2"/>
  <w14:defaultImageDpi w14:val="300"/>
  <w15:docId w15:val="{F68B0F20-56FB-49AA-AA14-5C3C862F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596923"/>
    <w:pPr>
      <w:pBdr>
        <w:top w:val="single" w:sz="8" w:space="3" w:color="AF272F"/>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4F81BD"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596923"/>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B80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0B3"/>
    <w:rPr>
      <w:rFonts w:ascii="Arial" w:hAnsi="Arial" w:cs="Arial"/>
      <w:sz w:val="18"/>
      <w:szCs w:val="18"/>
    </w:rPr>
  </w:style>
  <w:style w:type="paragraph" w:styleId="FootnoteText">
    <w:name w:val="footnote text"/>
    <w:basedOn w:val="Normal"/>
    <w:link w:val="FootnoteTextChar"/>
    <w:uiPriority w:val="99"/>
    <w:unhideWhenUsed/>
    <w:rsid w:val="00B70F0B"/>
    <w:pPr>
      <w:spacing w:after="0" w:line="240" w:lineRule="auto"/>
    </w:pPr>
    <w:rPr>
      <w:rFonts w:ascii="Calibri" w:eastAsia="Calibri" w:hAnsi="Calibri" w:cs="Times New Roman"/>
      <w:sz w:val="20"/>
      <w:szCs w:val="20"/>
      <w:lang w:val="en-AU"/>
    </w:rPr>
  </w:style>
  <w:style w:type="character" w:customStyle="1" w:styleId="FootnoteTextChar">
    <w:name w:val="Footnote Text Char"/>
    <w:basedOn w:val="DefaultParagraphFont"/>
    <w:link w:val="FootnoteText"/>
    <w:uiPriority w:val="99"/>
    <w:rsid w:val="00B70F0B"/>
    <w:rPr>
      <w:rFonts w:ascii="Calibri" w:eastAsia="Calibri" w:hAnsi="Calibri" w:cs="Times New Roman"/>
      <w:sz w:val="20"/>
      <w:szCs w:val="20"/>
      <w:lang w:val="en-AU"/>
    </w:rPr>
  </w:style>
  <w:style w:type="character" w:styleId="FootnoteReference">
    <w:name w:val="footnote reference"/>
    <w:uiPriority w:val="99"/>
    <w:unhideWhenUsed/>
    <w:rsid w:val="00B70F0B"/>
    <w:rPr>
      <w:vertAlign w:val="superscript"/>
    </w:rPr>
  </w:style>
  <w:style w:type="character" w:styleId="Hyperlink">
    <w:name w:val="Hyperlink"/>
    <w:basedOn w:val="DefaultParagraphFont"/>
    <w:uiPriority w:val="99"/>
    <w:unhideWhenUsed/>
    <w:rsid w:val="00B70F0B"/>
    <w:rPr>
      <w:color w:val="0000FF" w:themeColor="hyperlink"/>
      <w:u w:val="single"/>
    </w:rPr>
  </w:style>
  <w:style w:type="paragraph" w:styleId="ListParagraph">
    <w:name w:val="List Paragraph"/>
    <w:basedOn w:val="Normal"/>
    <w:uiPriority w:val="34"/>
    <w:qFormat/>
    <w:rsid w:val="00B70F0B"/>
    <w:pPr>
      <w:ind w:left="720"/>
      <w:contextualSpacing/>
    </w:pPr>
  </w:style>
  <w:style w:type="paragraph" w:styleId="NormalWeb">
    <w:name w:val="Normal (Web)"/>
    <w:basedOn w:val="Normal"/>
    <w:uiPriority w:val="99"/>
    <w:semiHidden/>
    <w:unhideWhenUsed/>
    <w:rsid w:val="007B547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efault">
    <w:name w:val="Default"/>
    <w:rsid w:val="00936CAF"/>
    <w:pPr>
      <w:autoSpaceDE w:val="0"/>
      <w:autoSpaceDN w:val="0"/>
      <w:adjustRightInd w:val="0"/>
    </w:pPr>
    <w:rPr>
      <w:rFonts w:ascii="Garamond" w:eastAsiaTheme="minorHAnsi" w:hAnsi="Garamond" w:cs="Garamond"/>
      <w:color w:val="000000"/>
      <w:lang w:val="en-AU"/>
    </w:rPr>
  </w:style>
  <w:style w:type="character" w:styleId="FollowedHyperlink">
    <w:name w:val="FollowedHyperlink"/>
    <w:basedOn w:val="DefaultParagraphFont"/>
    <w:uiPriority w:val="99"/>
    <w:semiHidden/>
    <w:unhideWhenUsed/>
    <w:rsid w:val="00833D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39392">
      <w:bodyDiv w:val="1"/>
      <w:marLeft w:val="0"/>
      <w:marRight w:val="0"/>
      <w:marTop w:val="0"/>
      <w:marBottom w:val="0"/>
      <w:divBdr>
        <w:top w:val="none" w:sz="0" w:space="0" w:color="auto"/>
        <w:left w:val="none" w:sz="0" w:space="0" w:color="auto"/>
        <w:bottom w:val="none" w:sz="0" w:space="0" w:color="auto"/>
        <w:right w:val="none" w:sz="0" w:space="0" w:color="auto"/>
      </w:divBdr>
    </w:div>
    <w:div w:id="650868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internal-controls-finance-manual-section-4/policy" TargetMode="External"/><Relationship Id="rId18" Type="http://schemas.openxmlformats.org/officeDocument/2006/relationships/hyperlink" Target="https://edugate.eduweb.vic.gov.au/edulibrary/Schools/Forms/AllItems.aspx?RootFolder=%2fedulibrary%2fSchools%2fCASES21%2fCASES21%20Finance%2fFinance%20Business%20Process%20Guide&amp;FolderCTID=&amp;View=%7b393E28AF%2d9188%2d49EC%2d9B2F%2d5B1CA6BF217D%7d" TargetMode="External"/><Relationship Id="rId3" Type="http://schemas.openxmlformats.org/officeDocument/2006/relationships/customXml" Target="../customXml/item3.xml"/><Relationship Id="rId21" Type="http://schemas.openxmlformats.org/officeDocument/2006/relationships/hyperlink" Target="https://www.prov.vic.gov.au/" TargetMode="External"/><Relationship Id="rId7" Type="http://schemas.openxmlformats.org/officeDocument/2006/relationships/settings" Target="settings.xml"/><Relationship Id="rId12" Type="http://schemas.openxmlformats.org/officeDocument/2006/relationships/hyperlink" Target="http://www.education.vic.gov.au/Documents/school/principals/finance/Fin%20Schools%20Electronic%20Funds%20Management%20Guidelines%20V1_2.pdf" TargetMode="External"/><Relationship Id="rId17" Type="http://schemas.openxmlformats.org/officeDocument/2006/relationships/hyperlink" Target="http://www.education.vic.gov.au/Documents/school/principals/finance/Fin%20Schools%20Electronic%20Funds%20Management%20Guidelines%20V1_2.pdf" TargetMode="External"/><Relationship Id="rId2" Type="http://schemas.openxmlformats.org/officeDocument/2006/relationships/customXml" Target="../customXml/item2.xml"/><Relationship Id="rId16" Type="http://schemas.openxmlformats.org/officeDocument/2006/relationships/hyperlink" Target="https://www2.education.vic.gov.au/pal/finance-manual/policy" TargetMode="External"/><Relationship Id="rId20" Type="http://schemas.openxmlformats.org/officeDocument/2006/relationships/hyperlink" Target="https://edugate.eduweb.vic.gov.au/Services/IT/ITPolicies/Pages/Responsibiliti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2.education.vic.gov.au/pal/receivables-management-and-cash-handling-finance-manual-section-10/poli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ducation.vic.gov.au/Documents/school/principals/finance/Fin%20Internal%20Control%20document%20v3.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vic.gov.au/Documents/school/principals/finance/Fin%20Schools%20Electronic%20Funds%20Management%20Guidelines%20V1_2.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8b89569b46b89aaf4620fe576e6c412e">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ce21a216258ca53154930b8396d9db30"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118</Value>
      <Value>99</Value>
    </TaxCatchAll>
    <DEECD_Publisher xmlns="http://schemas.microsoft.com/sharepoint/v3"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128fc848-3335-484e-aa10-c13e61aabf0c</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98960717-BBF1-4652-B5B4-080497112E17}">
  <ds:schemaRefs>
    <ds:schemaRef ds:uri="http://schemas.openxmlformats.org/officeDocument/2006/bibliography"/>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9A9DDC65-B4FF-4AC4-A24C-7C080FC1E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cp:lastModifiedBy>Malvern Central School</cp:lastModifiedBy>
  <cp:revision>3</cp:revision>
  <cp:lastPrinted>2018-10-16T23:35:00Z</cp:lastPrinted>
  <dcterms:created xsi:type="dcterms:W3CDTF">2023-03-29T03:18:00Z</dcterms:created>
  <dcterms:modified xsi:type="dcterms:W3CDTF">2023-05-25T05:01:00Z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_docset_NoMedatataSyncRequired">
    <vt:lpwstr>False</vt:lpwstr>
  </property>
  <property fmtid="{D5CDD505-2E9C-101B-9397-08002B2CF9AE}" pid="7" name="RecordPoint_WorkflowType">
    <vt:lpwstr>ActiveSubmitStub</vt:lpwstr>
  </property>
  <property fmtid="{D5CDD505-2E9C-101B-9397-08002B2CF9AE}" pid="8" name="RecordPoint_ActiveItemUniqueId">
    <vt:lpwstr>{a23bdf8e-4805-4929-82f4-029f9d12c92e}</vt:lpwstr>
  </property>
  <property fmtid="{D5CDD505-2E9C-101B-9397-08002B2CF9AE}" pid="9" name="RecordPoint_ActiveItemWebId">
    <vt:lpwstr>{47fe8251-ecf1-42a0-aa87-b8a7e5df83b8}</vt:lpwstr>
  </property>
  <property fmtid="{D5CDD505-2E9C-101B-9397-08002B2CF9AE}" pid="10" name="RecordPoint_ActiveItemSiteId">
    <vt:lpwstr>{03dc8113-b288-4f44-a289-6e7ea0196235}</vt:lpwstr>
  </property>
  <property fmtid="{D5CDD505-2E9C-101B-9397-08002B2CF9AE}" pid="11" name="RecordPoint_ActiveItemListId">
    <vt:lpwstr>{24d4cbab-1b33-4e8b-a1ca-6038b47c2cdf}</vt:lpwstr>
  </property>
  <property fmtid="{D5CDD505-2E9C-101B-9397-08002B2CF9AE}" pid="12" name="RecordPoint_SubmissionDate">
    <vt:lpwstr/>
  </property>
  <property fmtid="{D5CDD505-2E9C-101B-9397-08002B2CF9AE}" pid="13" name="RecordPoint_RecordNumberSubmitted">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
  </property>
  <property fmtid="{D5CDD505-2E9C-101B-9397-08002B2CF9AE}" pid="17" name="Order">
    <vt:r8>1300</vt:r8>
  </property>
  <property fmtid="{D5CDD505-2E9C-101B-9397-08002B2CF9AE}" pid="18" name="DEECD_SubjectCategory">
    <vt:lpwstr/>
  </property>
  <property fmtid="{D5CDD505-2E9C-101B-9397-08002B2CF9AE}" pid="19" name="xd_Signature">
    <vt:bool>false</vt:bool>
  </property>
  <property fmtid="{D5CDD505-2E9C-101B-9397-08002B2CF9AE}" pid="20" name="xd_ProgID">
    <vt:lpwstr/>
  </property>
  <property fmtid="{D5CDD505-2E9C-101B-9397-08002B2CF9AE}" pid="21" name="DEECD_ItemType">
    <vt:lpwstr>99;#Form / Template|128fc848-3335-484e-aa10-c13e61aabf0c</vt:lpwstr>
  </property>
  <property fmtid="{D5CDD505-2E9C-101B-9397-08002B2CF9AE}" pid="22" name="TemplateUrl">
    <vt:lpwstr/>
  </property>
  <property fmtid="{D5CDD505-2E9C-101B-9397-08002B2CF9AE}" pid="23" name="DEECD_Audience">
    <vt:lpwstr>118;#Principals|a4f56333-bce8-49bd-95df-bc27ddd10ec3</vt:lpwstr>
  </property>
  <property fmtid="{D5CDD505-2E9C-101B-9397-08002B2CF9AE}" pid="24" name="RoutingRuleDescription">
    <vt:lpwstr/>
  </property>
  <property fmtid="{D5CDD505-2E9C-101B-9397-08002B2CF9AE}" pid="25" name="DEECD_Author">
    <vt:lpwstr/>
  </property>
</Properties>
</file>